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65A875" w14:textId="77777777" w:rsidR="00AC1D3D" w:rsidRPr="00FF2308" w:rsidRDefault="00AC1D3D" w:rsidP="00AC1D3D">
      <w:pPr>
        <w:pStyle w:val="Header"/>
        <w:tabs>
          <w:tab w:val="right" w:pos="9639"/>
        </w:tabs>
        <w:jc w:val="both"/>
        <w:rPr>
          <w:noProof w:val="0"/>
          <w:sz w:val="24"/>
          <w:szCs w:val="24"/>
          <w:lang w:val="sv-SE"/>
        </w:rPr>
      </w:pPr>
      <w:r w:rsidRPr="00FF31D8">
        <w:rPr>
          <w:noProof w:val="0"/>
          <w:sz w:val="24"/>
          <w:szCs w:val="24"/>
          <w:lang w:val="sv-SE"/>
        </w:rPr>
        <w:t>3GPP TSG-RAN WG4 Meeting #</w:t>
      </w:r>
      <w:r>
        <w:rPr>
          <w:noProof w:val="0"/>
          <w:sz w:val="24"/>
          <w:szCs w:val="24"/>
          <w:lang w:val="sv-SE"/>
        </w:rPr>
        <w:t>84</w:t>
      </w:r>
      <w:r>
        <w:rPr>
          <w:noProof w:val="0"/>
          <w:sz w:val="24"/>
          <w:szCs w:val="24"/>
          <w:lang w:val="sv-SE"/>
        </w:rPr>
        <w:tab/>
        <w:t>R4-</w:t>
      </w:r>
      <w:r w:rsidR="004276ED" w:rsidRPr="004276ED">
        <w:t xml:space="preserve"> </w:t>
      </w:r>
      <w:r w:rsidR="004276ED" w:rsidRPr="004276ED">
        <w:rPr>
          <w:noProof w:val="0"/>
          <w:sz w:val="24"/>
          <w:szCs w:val="24"/>
          <w:lang w:val="sv-SE"/>
        </w:rPr>
        <w:t>1707334</w:t>
      </w:r>
    </w:p>
    <w:p w14:paraId="1DFC8F0F" w14:textId="6697E8F2" w:rsidR="00AC1D3D" w:rsidRDefault="00AC1D3D" w:rsidP="00AC1D3D">
      <w:pPr>
        <w:pStyle w:val="CRCoverPage"/>
        <w:outlineLvl w:val="0"/>
        <w:rPr>
          <w:b/>
          <w:noProof/>
          <w:sz w:val="24"/>
        </w:rPr>
      </w:pPr>
      <w:r>
        <w:rPr>
          <w:b/>
          <w:sz w:val="24"/>
          <w:szCs w:val="24"/>
        </w:rPr>
        <w:t>Berlin</w:t>
      </w:r>
      <w:r>
        <w:rPr>
          <w:b/>
          <w:noProof/>
          <w:sz w:val="24"/>
        </w:rPr>
        <w:t>, Germany, 21</w:t>
      </w:r>
      <w:r>
        <w:rPr>
          <w:b/>
          <w:noProof/>
          <w:sz w:val="24"/>
          <w:vertAlign w:val="superscript"/>
        </w:rPr>
        <w:t>st</w:t>
      </w:r>
      <w:r>
        <w:rPr>
          <w:b/>
          <w:noProof/>
          <w:sz w:val="24"/>
        </w:rPr>
        <w:t xml:space="preserve"> – 2</w:t>
      </w:r>
      <w:fldSimple w:instr=" DOCPROPERTY  EndDate  \* MERGEFORMAT ">
        <w:r w:rsidR="00FB70E7">
          <w:rPr>
            <w:b/>
            <w:noProof/>
            <w:sz w:val="24"/>
          </w:rPr>
          <w:t>5</w:t>
        </w:r>
        <w:r w:rsidRPr="00B6437C">
          <w:rPr>
            <w:b/>
            <w:noProof/>
            <w:sz w:val="24"/>
            <w:vertAlign w:val="superscript"/>
          </w:rPr>
          <w:t>th</w:t>
        </w:r>
        <w:r>
          <w:rPr>
            <w:b/>
            <w:noProof/>
            <w:sz w:val="24"/>
          </w:rPr>
          <w:t xml:space="preserve"> </w:t>
        </w:r>
        <w:r w:rsidR="00FB70E7">
          <w:rPr>
            <w:b/>
            <w:noProof/>
            <w:sz w:val="24"/>
          </w:rPr>
          <w:t>August</w:t>
        </w:r>
        <w:r w:rsidRPr="00BA51D9">
          <w:rPr>
            <w:b/>
            <w:noProof/>
            <w:sz w:val="24"/>
          </w:rPr>
          <w:t xml:space="preserve"> </w:t>
        </w:r>
        <w:r>
          <w:rPr>
            <w:b/>
            <w:noProof/>
            <w:sz w:val="24"/>
          </w:rPr>
          <w:t>2017</w:t>
        </w:r>
      </w:fldSimple>
    </w:p>
    <w:p w14:paraId="7D090458" w14:textId="77777777" w:rsidR="00AC1D3D" w:rsidRPr="008C4D7E" w:rsidRDefault="00AC1D3D" w:rsidP="00AC1D3D">
      <w:pPr>
        <w:pStyle w:val="Header"/>
        <w:tabs>
          <w:tab w:val="left" w:pos="1127"/>
          <w:tab w:val="left" w:pos="2515"/>
        </w:tabs>
        <w:jc w:val="both"/>
        <w:rPr>
          <w:noProof w:val="0"/>
          <w:lang w:val="en-GB"/>
        </w:rPr>
      </w:pPr>
      <w:r>
        <w:rPr>
          <w:noProof w:val="0"/>
          <w:lang w:val="en-GB"/>
        </w:rPr>
        <w:tab/>
      </w:r>
      <w:r>
        <w:rPr>
          <w:noProof w:val="0"/>
          <w:lang w:val="en-GB"/>
        </w:rPr>
        <w:tab/>
      </w:r>
    </w:p>
    <w:p w14:paraId="5DF89243" w14:textId="77777777" w:rsidR="00AC1D3D" w:rsidRDefault="00AC1D3D" w:rsidP="00AC1D3D">
      <w:pPr>
        <w:pStyle w:val="Footer"/>
        <w:jc w:val="both"/>
        <w:rPr>
          <w:noProof w:val="0"/>
        </w:rPr>
      </w:pPr>
    </w:p>
    <w:p w14:paraId="240FFC91" w14:textId="77777777" w:rsidR="00AC1D3D" w:rsidRDefault="00AC1D3D" w:rsidP="00AC1D3D">
      <w:pPr>
        <w:tabs>
          <w:tab w:val="left" w:pos="1985"/>
        </w:tabs>
        <w:jc w:val="both"/>
        <w:rPr>
          <w:rFonts w:ascii="Arial" w:hAnsi="Arial"/>
          <w:sz w:val="24"/>
        </w:rPr>
      </w:pPr>
      <w:r>
        <w:rPr>
          <w:rFonts w:ascii="Arial" w:hAnsi="Arial"/>
          <w:b/>
          <w:sz w:val="24"/>
        </w:rPr>
        <w:t>Agenda item:</w:t>
      </w:r>
      <w:r>
        <w:rPr>
          <w:rFonts w:ascii="Arial" w:hAnsi="Arial"/>
          <w:sz w:val="24"/>
        </w:rPr>
        <w:tab/>
      </w:r>
      <w:r w:rsidR="00612714">
        <w:rPr>
          <w:rFonts w:ascii="Arial" w:hAnsi="Arial"/>
          <w:sz w:val="24"/>
        </w:rPr>
        <w:t>7.6.4</w:t>
      </w:r>
      <w:bookmarkStart w:id="0" w:name="_GoBack"/>
      <w:bookmarkEnd w:id="0"/>
    </w:p>
    <w:p w14:paraId="1459138E" w14:textId="77777777" w:rsidR="00AC1D3D" w:rsidRDefault="00AC1D3D" w:rsidP="00AC1D3D">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1AB60A7E" w14:textId="78D442FA" w:rsidR="00D536A6" w:rsidRDefault="00AC1D3D" w:rsidP="00AC1D3D">
      <w:pPr>
        <w:tabs>
          <w:tab w:val="left" w:pos="1985"/>
        </w:tabs>
        <w:ind w:left="1980" w:hanging="1980"/>
        <w:jc w:val="both"/>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D536A6" w:rsidRPr="00D536A6">
        <w:rPr>
          <w:rFonts w:ascii="Arial" w:hAnsi="Arial"/>
          <w:sz w:val="24"/>
        </w:rPr>
        <w:t>Discussion on ICS value in power imbalance test</w:t>
      </w:r>
      <w:r w:rsidR="00D536A6">
        <w:rPr>
          <w:rFonts w:ascii="Arial" w:hAnsi="Arial"/>
          <w:sz w:val="24"/>
        </w:rPr>
        <w:t>.</w:t>
      </w:r>
    </w:p>
    <w:p w14:paraId="6DB6F96D" w14:textId="73F86134" w:rsidR="00AC1D3D" w:rsidRDefault="00AC1D3D" w:rsidP="00AC1D3D">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Agreement</w:t>
      </w:r>
    </w:p>
    <w:p w14:paraId="1F8BCB1A" w14:textId="77777777" w:rsidR="00AC1D3D" w:rsidRDefault="00AC1D3D" w:rsidP="00AC1D3D">
      <w:pPr>
        <w:pStyle w:val="Heading1"/>
      </w:pPr>
      <w:r w:rsidRPr="001C39F7">
        <w:t>Introduction</w:t>
      </w:r>
    </w:p>
    <w:p w14:paraId="50FB6BB4" w14:textId="2819C3DC" w:rsidR="004276ED" w:rsidRPr="004276ED" w:rsidRDefault="004276ED" w:rsidP="004276ED">
      <w:pPr>
        <w:rPr>
          <w:lang w:val="en-GB"/>
        </w:rPr>
      </w:pPr>
      <w:r>
        <w:rPr>
          <w:lang w:val="en-GB"/>
        </w:rPr>
        <w:t>In RAN4#83 meeting, the following agreement [</w:t>
      </w:r>
      <w:r w:rsidR="007661F0">
        <w:rPr>
          <w:lang w:val="en-GB"/>
        </w:rPr>
        <w:t>1</w:t>
      </w:r>
      <w:r>
        <w:rPr>
          <w:lang w:val="en-GB"/>
        </w:rPr>
        <w:t>] has been made on the ICS value in the Power Imbalance Test</w:t>
      </w:r>
    </w:p>
    <w:p w14:paraId="35FD08BE" w14:textId="77777777" w:rsidR="005E68C6" w:rsidRPr="004276ED" w:rsidRDefault="00CB3515" w:rsidP="004276ED">
      <w:pPr>
        <w:numPr>
          <w:ilvl w:val="0"/>
          <w:numId w:val="11"/>
        </w:numPr>
      </w:pPr>
      <w:r w:rsidRPr="004276ED">
        <w:t>Power imbalance test</w:t>
      </w:r>
    </w:p>
    <w:p w14:paraId="474523C9" w14:textId="77777777" w:rsidR="005E68C6" w:rsidRPr="004276ED" w:rsidRDefault="00CB3515" w:rsidP="004276ED">
      <w:pPr>
        <w:numPr>
          <w:ilvl w:val="1"/>
          <w:numId w:val="11"/>
        </w:numPr>
      </w:pPr>
      <w:r w:rsidRPr="004276ED">
        <w:t xml:space="preserve">RAN4 agree ICS level is [-25] </w:t>
      </w:r>
      <w:proofErr w:type="spellStart"/>
      <w:r w:rsidRPr="004276ED">
        <w:t>dBc</w:t>
      </w:r>
      <w:proofErr w:type="spellEnd"/>
      <w:r w:rsidRPr="004276ED">
        <w:t xml:space="preserve"> for power imbalance test</w:t>
      </w:r>
    </w:p>
    <w:p w14:paraId="427AA9CA" w14:textId="77777777" w:rsidR="005E68C6" w:rsidRPr="004276ED" w:rsidRDefault="00CB3515" w:rsidP="004276ED">
      <w:pPr>
        <w:numPr>
          <w:ilvl w:val="1"/>
          <w:numId w:val="11"/>
        </w:numPr>
      </w:pPr>
      <w:r w:rsidRPr="004276ED">
        <w:t>If technical issues are observed with -25dBc ICS level to support V2X, ICS level could be revised</w:t>
      </w:r>
    </w:p>
    <w:p w14:paraId="76D08711" w14:textId="631FB7B5" w:rsidR="00607454" w:rsidRPr="00AC1D3D" w:rsidRDefault="004276ED" w:rsidP="00AC1D3D">
      <w:pPr>
        <w:rPr>
          <w:lang w:val="en-GB"/>
        </w:rPr>
      </w:pPr>
      <w:r>
        <w:rPr>
          <w:lang w:val="en-GB"/>
        </w:rPr>
        <w:t>Earlier contribution [</w:t>
      </w:r>
      <w:r w:rsidR="007661F0">
        <w:rPr>
          <w:lang w:val="en-GB"/>
        </w:rPr>
        <w:t>3</w:t>
      </w:r>
      <w:r>
        <w:rPr>
          <w:lang w:val="en-GB"/>
        </w:rPr>
        <w:t xml:space="preserve">] has identified that [-25] </w:t>
      </w:r>
      <w:proofErr w:type="spellStart"/>
      <w:r>
        <w:rPr>
          <w:lang w:val="en-GB"/>
        </w:rPr>
        <w:t>dBc</w:t>
      </w:r>
      <w:proofErr w:type="spellEnd"/>
      <w:r>
        <w:rPr>
          <w:lang w:val="en-GB"/>
        </w:rPr>
        <w:t xml:space="preserve"> of ICS performance is not sufficient to guarantee system performance of V2X. However, the above agreement </w:t>
      </w:r>
      <w:r w:rsidR="00D536A6">
        <w:rPr>
          <w:lang w:val="en-GB"/>
        </w:rPr>
        <w:t>was</w:t>
      </w:r>
      <w:r>
        <w:rPr>
          <w:lang w:val="en-GB"/>
        </w:rPr>
        <w:t xml:space="preserve"> made due to the concern from some companies about the feasibility of supporting higher ICS value</w:t>
      </w:r>
      <w:r w:rsidR="00D536A6">
        <w:rPr>
          <w:lang w:val="en-GB"/>
        </w:rPr>
        <w:t>s</w:t>
      </w:r>
      <w:r>
        <w:rPr>
          <w:lang w:val="en-GB"/>
        </w:rPr>
        <w:t xml:space="preserve"> in V2X UE. We will address that concern in this paper by means of analysis and simulation.</w:t>
      </w:r>
    </w:p>
    <w:p w14:paraId="38DA8B77" w14:textId="77777777" w:rsidR="00AC1D3D" w:rsidRDefault="004276ED" w:rsidP="00AC1D3D">
      <w:pPr>
        <w:pStyle w:val="Heading1"/>
      </w:pPr>
      <w:r>
        <w:t>Analysis</w:t>
      </w:r>
    </w:p>
    <w:p w14:paraId="33252A79" w14:textId="77777777" w:rsidR="004276ED" w:rsidRDefault="004276ED" w:rsidP="004276ED">
      <w:pPr>
        <w:rPr>
          <w:lang w:val="en-GB"/>
        </w:rPr>
      </w:pPr>
      <w:r>
        <w:rPr>
          <w:lang w:val="en-GB"/>
        </w:rPr>
        <w:t xml:space="preserve">Power Imbalance test is the test to verify the dynamic range of the device where there will be a strong link </w:t>
      </w:r>
      <w:proofErr w:type="spellStart"/>
      <w:r>
        <w:rPr>
          <w:lang w:val="en-GB"/>
        </w:rPr>
        <w:t>FDMed</w:t>
      </w:r>
      <w:proofErr w:type="spellEnd"/>
      <w:r>
        <w:rPr>
          <w:lang w:val="en-GB"/>
        </w:rPr>
        <w:t xml:space="preserve"> with a weak link and the UE is required to receive the weak link with high reliability. In a sense, it is very similar with the blocking tests in RF specification. The only different is that the strong link, which acts as a blocker, is within the configure channel of the weak link, thus there is no benefit provided by the </w:t>
      </w:r>
      <w:r w:rsidR="00235459">
        <w:rPr>
          <w:lang w:val="en-GB"/>
        </w:rPr>
        <w:t>RF filter. Thus, the main factors that contribute to ICS performance are:</w:t>
      </w:r>
    </w:p>
    <w:p w14:paraId="33DB406B" w14:textId="440006E3" w:rsidR="00235459" w:rsidRDefault="00235459" w:rsidP="00235459">
      <w:pPr>
        <w:pStyle w:val="ListParagraph"/>
        <w:numPr>
          <w:ilvl w:val="0"/>
          <w:numId w:val="12"/>
        </w:numPr>
        <w:rPr>
          <w:lang w:val="en-GB"/>
        </w:rPr>
      </w:pPr>
      <w:r>
        <w:rPr>
          <w:lang w:val="en-GB"/>
        </w:rPr>
        <w:t xml:space="preserve">AGC: this is the first component that the signal will pass through in the receive path. The concern here is that there may be some clipping effect </w:t>
      </w:r>
      <w:r w:rsidR="00D536A6">
        <w:rPr>
          <w:lang w:val="en-GB"/>
        </w:rPr>
        <w:t>because</w:t>
      </w:r>
      <w:r>
        <w:rPr>
          <w:lang w:val="en-GB"/>
        </w:rPr>
        <w:t xml:space="preserve"> the </w:t>
      </w:r>
      <w:r w:rsidR="00274DFD">
        <w:rPr>
          <w:lang w:val="en-GB"/>
        </w:rPr>
        <w:t>LNA</w:t>
      </w:r>
      <w:r>
        <w:rPr>
          <w:lang w:val="en-GB"/>
        </w:rPr>
        <w:t xml:space="preserve"> is in a high gain state, so that the strong signal will saturate the weak signal. However, we note that when this happen, the AGC will go through a training loop to adjust the gain state</w:t>
      </w:r>
      <w:r w:rsidR="00274DFD">
        <w:rPr>
          <w:lang w:val="en-GB"/>
        </w:rPr>
        <w:t xml:space="preserve"> of the LNA</w:t>
      </w:r>
      <w:r>
        <w:rPr>
          <w:lang w:val="en-GB"/>
        </w:rPr>
        <w:t xml:space="preserve"> (i.e. there will be no clipping)</w:t>
      </w:r>
      <w:r w:rsidR="006F1CCD">
        <w:rPr>
          <w:lang w:val="en-GB"/>
        </w:rPr>
        <w:t xml:space="preserve">, and through that will also decrease the noise figure. This training loop should be finished after at most 1 OFDM symbol </w:t>
      </w:r>
      <w:r w:rsidR="00D536A6">
        <w:rPr>
          <w:lang w:val="en-GB"/>
        </w:rPr>
        <w:t>per</w:t>
      </w:r>
      <w:r w:rsidR="006F1CCD">
        <w:rPr>
          <w:lang w:val="en-GB"/>
        </w:rPr>
        <w:t xml:space="preserve"> RAN4 assumption. Thus, there will be no negative contribution from AGC to ICS performance, given that the first symbol is always used for AGC training. </w:t>
      </w:r>
    </w:p>
    <w:p w14:paraId="7D432840" w14:textId="010E1850" w:rsidR="00235459" w:rsidRPr="00235459" w:rsidRDefault="00235459" w:rsidP="00235459">
      <w:pPr>
        <w:pStyle w:val="ListParagraph"/>
        <w:numPr>
          <w:ilvl w:val="0"/>
          <w:numId w:val="12"/>
        </w:numPr>
        <w:rPr>
          <w:lang w:val="en-GB"/>
        </w:rPr>
      </w:pPr>
      <w:r>
        <w:rPr>
          <w:lang w:val="en-GB"/>
        </w:rPr>
        <w:t>Rx RFIC image</w:t>
      </w:r>
      <w:r w:rsidR="006F1CCD">
        <w:rPr>
          <w:lang w:val="en-GB"/>
        </w:rPr>
        <w:t>: when signal go through the RFIC and get down-converted to baseband signal, some distortion will be added, namely the DC leakage and RF image distortion. However, the testing configuration</w:t>
      </w:r>
      <w:r w:rsidR="007661F0">
        <w:rPr>
          <w:lang w:val="en-GB"/>
        </w:rPr>
        <w:t xml:space="preserve"> [2]</w:t>
      </w:r>
      <w:r w:rsidR="006F1CCD">
        <w:rPr>
          <w:lang w:val="en-GB"/>
        </w:rPr>
        <w:t xml:space="preserve"> is carefully chosen such that the weak signal RB is not within the position of such leakages from the strong signal.</w:t>
      </w:r>
    </w:p>
    <w:p w14:paraId="146C2839" w14:textId="69444EF9" w:rsidR="006F1CCD" w:rsidRDefault="00235459" w:rsidP="00235459">
      <w:pPr>
        <w:pStyle w:val="ListParagraph"/>
        <w:numPr>
          <w:ilvl w:val="0"/>
          <w:numId w:val="12"/>
        </w:numPr>
        <w:rPr>
          <w:lang w:val="en-GB"/>
        </w:rPr>
      </w:pPr>
      <w:r>
        <w:rPr>
          <w:lang w:val="en-GB"/>
        </w:rPr>
        <w:t>ADC</w:t>
      </w:r>
      <w:r w:rsidR="006F1CCD">
        <w:rPr>
          <w:lang w:val="en-GB"/>
        </w:rPr>
        <w:t>: this phase happens after the signal was down-converted and before it get</w:t>
      </w:r>
      <w:r w:rsidR="00D536A6">
        <w:rPr>
          <w:lang w:val="en-GB"/>
        </w:rPr>
        <w:t>s</w:t>
      </w:r>
      <w:r w:rsidR="006F1CCD">
        <w:rPr>
          <w:lang w:val="en-GB"/>
        </w:rPr>
        <w:t xml:space="preserve"> processed by the digital baseband processing. The ADC will add quantization noise to the baseband signal. </w:t>
      </w:r>
      <w:r w:rsidR="008B7A49">
        <w:rPr>
          <w:lang w:val="en-GB"/>
        </w:rPr>
        <w:t xml:space="preserve">Consider a very a uniform quantization scheme. Such scheme will clearly underperform all available </w:t>
      </w:r>
      <w:r w:rsidR="008B7A49">
        <w:rPr>
          <w:lang w:val="en-GB"/>
        </w:rPr>
        <w:lastRenderedPageBreak/>
        <w:t xml:space="preserve">commercial ADC by a large margin. </w:t>
      </w:r>
      <w:r w:rsidR="006F1CCD">
        <w:rPr>
          <w:lang w:val="en-GB"/>
        </w:rPr>
        <w:t>The quantization noise is well known to be white</w:t>
      </w:r>
      <w:r w:rsidR="008B7A49">
        <w:rPr>
          <w:lang w:val="en-GB"/>
        </w:rPr>
        <w:t>.</w:t>
      </w:r>
      <w:r w:rsidR="006F1CCD">
        <w:rPr>
          <w:lang w:val="en-GB"/>
        </w:rPr>
        <w:t xml:space="preserve"> </w:t>
      </w:r>
      <w:r w:rsidR="008B7A49">
        <w:rPr>
          <w:lang w:val="en-GB"/>
        </w:rPr>
        <w:t>The SNR of the uniform quantization is as follow</w:t>
      </w:r>
      <w:r w:rsidR="006F1CCD">
        <w:rPr>
          <w:lang w:val="en-GB"/>
        </w:rPr>
        <w:t>:</w:t>
      </w:r>
    </w:p>
    <w:p w14:paraId="144FC7AF" w14:textId="77777777" w:rsidR="00235459" w:rsidRDefault="006F1CCD" w:rsidP="006F1CCD">
      <w:pPr>
        <w:pStyle w:val="ListParagraph"/>
        <w:jc w:val="center"/>
        <w:rPr>
          <w:rStyle w:val="mo"/>
          <w:rFonts w:ascii="MathJax_Main" w:hAnsi="MathJax_Main" w:cs="Helvetica"/>
          <w:color w:val="000000"/>
          <w:sz w:val="27"/>
          <w:szCs w:val="27"/>
          <w:bdr w:val="none" w:sz="0" w:space="0" w:color="auto" w:frame="1"/>
          <w:shd w:val="clear" w:color="auto" w:fill="FFFFFF"/>
        </w:rPr>
      </w:pPr>
      <w:r>
        <w:rPr>
          <w:rStyle w:val="mi"/>
          <w:rFonts w:ascii="MathJax_Math-italic" w:hAnsi="MathJax_Math-italic" w:cs="Helvetica"/>
          <w:color w:val="000000"/>
          <w:sz w:val="27"/>
          <w:szCs w:val="27"/>
          <w:bdr w:val="none" w:sz="0" w:space="0" w:color="auto" w:frame="1"/>
          <w:shd w:val="clear" w:color="auto" w:fill="FFFFFF"/>
        </w:rPr>
        <w:t>SNR</w:t>
      </w:r>
      <w:r>
        <w:rPr>
          <w:rStyle w:val="mo"/>
          <w:rFonts w:ascii="MathJax_Main" w:hAnsi="MathJax_Main" w:cs="Helvetica"/>
          <w:color w:val="000000"/>
          <w:sz w:val="27"/>
          <w:szCs w:val="27"/>
          <w:bdr w:val="none" w:sz="0" w:space="0" w:color="auto" w:frame="1"/>
          <w:shd w:val="clear" w:color="auto" w:fill="FFFFFF"/>
        </w:rPr>
        <w:t>=</w:t>
      </w:r>
      <w:r>
        <w:rPr>
          <w:rStyle w:val="mn"/>
          <w:rFonts w:ascii="MathJax_Main" w:hAnsi="MathJax_Main" w:cs="Helvetica"/>
          <w:color w:val="000000"/>
          <w:sz w:val="27"/>
          <w:szCs w:val="27"/>
          <w:bdr w:val="none" w:sz="0" w:space="0" w:color="auto" w:frame="1"/>
          <w:shd w:val="clear" w:color="auto" w:fill="FFFFFF"/>
        </w:rPr>
        <w:t>6.02</w:t>
      </w:r>
      <w:r>
        <w:rPr>
          <w:rStyle w:val="mi"/>
          <w:rFonts w:ascii="MathJax_Math-italic" w:hAnsi="MathJax_Math-italic" w:cs="Helvetica"/>
          <w:color w:val="000000"/>
          <w:sz w:val="27"/>
          <w:szCs w:val="27"/>
          <w:bdr w:val="none" w:sz="0" w:space="0" w:color="auto" w:frame="1"/>
          <w:shd w:val="clear" w:color="auto" w:fill="FFFFFF"/>
        </w:rPr>
        <w:t>N</w:t>
      </w:r>
      <w:r>
        <w:rPr>
          <w:rStyle w:val="mo"/>
          <w:rFonts w:ascii="MathJax_Main" w:hAnsi="MathJax_Main" w:cs="Helvetica"/>
          <w:color w:val="000000"/>
          <w:sz w:val="27"/>
          <w:szCs w:val="27"/>
          <w:bdr w:val="none" w:sz="0" w:space="0" w:color="auto" w:frame="1"/>
          <w:shd w:val="clear" w:color="auto" w:fill="FFFFFF"/>
        </w:rPr>
        <w:t>+</w:t>
      </w:r>
      <w:r>
        <w:rPr>
          <w:rStyle w:val="mn"/>
          <w:rFonts w:ascii="MathJax_Main" w:hAnsi="MathJax_Main" w:cs="Helvetica"/>
          <w:color w:val="000000"/>
          <w:sz w:val="27"/>
          <w:szCs w:val="27"/>
          <w:bdr w:val="none" w:sz="0" w:space="0" w:color="auto" w:frame="1"/>
          <w:shd w:val="clear" w:color="auto" w:fill="FFFFFF"/>
        </w:rPr>
        <w:t>1.76</w:t>
      </w:r>
      <w:r>
        <w:rPr>
          <w:rStyle w:val="mo"/>
          <w:rFonts w:ascii="MathJax_Main" w:hAnsi="MathJax_Main" w:cs="Helvetica"/>
          <w:color w:val="000000"/>
          <w:sz w:val="27"/>
          <w:szCs w:val="27"/>
          <w:bdr w:val="none" w:sz="0" w:space="0" w:color="auto" w:frame="1"/>
          <w:shd w:val="clear" w:color="auto" w:fill="FFFFFF"/>
        </w:rPr>
        <w:t>(</w:t>
      </w:r>
      <w:r>
        <w:rPr>
          <w:rStyle w:val="mi"/>
          <w:rFonts w:ascii="MathJax_Math-italic" w:hAnsi="MathJax_Math-italic" w:cs="Helvetica"/>
          <w:color w:val="000000"/>
          <w:sz w:val="27"/>
          <w:szCs w:val="27"/>
          <w:bdr w:val="none" w:sz="0" w:space="0" w:color="auto" w:frame="1"/>
          <w:shd w:val="clear" w:color="auto" w:fill="FFFFFF"/>
        </w:rPr>
        <w:t>dB</w:t>
      </w:r>
      <w:r>
        <w:rPr>
          <w:rStyle w:val="mo"/>
          <w:rFonts w:ascii="MathJax_Main" w:hAnsi="MathJax_Main" w:cs="Helvetica"/>
          <w:color w:val="000000"/>
          <w:sz w:val="27"/>
          <w:szCs w:val="27"/>
          <w:bdr w:val="none" w:sz="0" w:space="0" w:color="auto" w:frame="1"/>
          <w:shd w:val="clear" w:color="auto" w:fill="FFFFFF"/>
        </w:rPr>
        <w:t>)</w:t>
      </w:r>
    </w:p>
    <w:p w14:paraId="53AC4829" w14:textId="77777777" w:rsidR="006F1CCD" w:rsidRPr="006F1CCD" w:rsidRDefault="006F1CCD" w:rsidP="008B7A49">
      <w:pPr>
        <w:ind w:left="720"/>
        <w:rPr>
          <w:lang w:val="en-GB"/>
        </w:rPr>
      </w:pPr>
      <w:r>
        <w:rPr>
          <w:lang w:val="en-GB"/>
        </w:rPr>
        <w:t>Where N is the number of bit</w:t>
      </w:r>
      <w:r w:rsidR="008B7A49">
        <w:rPr>
          <w:lang w:val="en-GB"/>
        </w:rPr>
        <w:t xml:space="preserve">s. The SNR for 8 bits (conservative number) ADC is more than 49.92 dB and that of a 12bits (typical number) ADC is 74dB. This number means that the quantization noise will be at least 50dBc below the total received power, which is approximately the power of the strong link. Given the propose ICS numbers are in the range of 25-30dBc, we believe that the effect of quantization noise is negligible. </w:t>
      </w:r>
    </w:p>
    <w:p w14:paraId="13592098" w14:textId="76A75DFA" w:rsidR="00420A5B" w:rsidRDefault="00235459" w:rsidP="00235459">
      <w:pPr>
        <w:pStyle w:val="ListParagraph"/>
        <w:numPr>
          <w:ilvl w:val="0"/>
          <w:numId w:val="12"/>
        </w:numPr>
        <w:rPr>
          <w:lang w:val="en-GB"/>
        </w:rPr>
      </w:pPr>
      <w:r>
        <w:rPr>
          <w:lang w:val="en-GB"/>
        </w:rPr>
        <w:t>Baseband Processing</w:t>
      </w:r>
      <w:r w:rsidR="008B7A49">
        <w:rPr>
          <w:lang w:val="en-GB"/>
        </w:rPr>
        <w:t xml:space="preserve">: the base band processing just </w:t>
      </w:r>
      <w:r w:rsidR="00D536A6">
        <w:rPr>
          <w:lang w:val="en-GB"/>
        </w:rPr>
        <w:t>performs</w:t>
      </w:r>
      <w:r w:rsidR="008B7A49">
        <w:rPr>
          <w:lang w:val="en-GB"/>
        </w:rPr>
        <w:t xml:space="preserve"> NFFT de</w:t>
      </w:r>
      <w:r w:rsidR="00D536A6">
        <w:rPr>
          <w:lang w:val="en-GB"/>
        </w:rPr>
        <w:t>-</w:t>
      </w:r>
      <w:r w:rsidR="008B7A49">
        <w:rPr>
          <w:lang w:val="en-GB"/>
        </w:rPr>
        <w:t>map</w:t>
      </w:r>
      <w:r w:rsidR="00D536A6">
        <w:rPr>
          <w:lang w:val="en-GB"/>
        </w:rPr>
        <w:t>p</w:t>
      </w:r>
      <w:r w:rsidR="008B7A49">
        <w:rPr>
          <w:lang w:val="en-GB"/>
        </w:rPr>
        <w:t>ing and demodulation. Since after de</w:t>
      </w:r>
      <w:r w:rsidR="00D536A6">
        <w:rPr>
          <w:lang w:val="en-GB"/>
        </w:rPr>
        <w:t>-</w:t>
      </w:r>
      <w:r w:rsidR="008B7A49">
        <w:rPr>
          <w:lang w:val="en-GB"/>
        </w:rPr>
        <w:t>map</w:t>
      </w:r>
      <w:r w:rsidR="00D536A6">
        <w:rPr>
          <w:lang w:val="en-GB"/>
        </w:rPr>
        <w:t>p</w:t>
      </w:r>
      <w:r w:rsidR="008B7A49">
        <w:rPr>
          <w:lang w:val="en-GB"/>
        </w:rPr>
        <w:t xml:space="preserve">ing, each link is processed independently, the only factor that comes </w:t>
      </w:r>
      <w:r w:rsidR="00D536A6">
        <w:rPr>
          <w:lang w:val="en-GB"/>
        </w:rPr>
        <w:t>into the picture in this</w:t>
      </w:r>
      <w:r w:rsidR="008B7A49">
        <w:rPr>
          <w:lang w:val="en-GB"/>
        </w:rPr>
        <w:t xml:space="preserve"> phase is the ICI leakage from the strong link to the weak link.</w:t>
      </w:r>
      <w:r w:rsidR="00420A5B">
        <w:rPr>
          <w:lang w:val="en-GB"/>
        </w:rPr>
        <w:t xml:space="preserve"> The ICI leakage from one tone to another tone can be approximated as follow (given the NFFT size is sufficiently large)</w:t>
      </w:r>
    </w:p>
    <w:p w14:paraId="5D441692" w14:textId="77777777" w:rsidR="00420A5B" w:rsidRDefault="00420A5B" w:rsidP="00420A5B">
      <w:pPr>
        <w:pStyle w:val="ListParagraph"/>
        <w:jc w:val="center"/>
        <w:rPr>
          <w:rFonts w:eastAsiaTheme="minorEastAsia"/>
          <w:lang w:val="en-GB"/>
        </w:rPr>
      </w:pPr>
      <m:oMath>
        <m:r>
          <w:rPr>
            <w:rFonts w:ascii="Cambria Math" w:hAnsi="Cambria Math"/>
            <w:lang w:val="en-GB"/>
          </w:rPr>
          <m:t>ICI=-20*log10</m:t>
        </m:r>
        <m:d>
          <m:dPr>
            <m:ctrlPr>
              <w:rPr>
                <w:rFonts w:ascii="Cambria Math" w:hAnsi="Cambria Math"/>
                <w:i/>
                <w:lang w:val="en-GB"/>
              </w:rPr>
            </m:ctrlPr>
          </m:dPr>
          <m:e>
            <m:r>
              <w:rPr>
                <w:rFonts w:ascii="Cambria Math" w:hAnsi="Cambria Math"/>
                <w:lang w:val="en-GB"/>
              </w:rPr>
              <m:t>sinc</m:t>
            </m:r>
            <m:d>
              <m:dPr>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∆f</m:t>
                    </m:r>
                  </m:num>
                  <m:den>
                    <m:r>
                      <w:rPr>
                        <w:rFonts w:ascii="Cambria Math" w:hAnsi="Cambria Math"/>
                        <w:lang w:val="en-GB"/>
                      </w:rPr>
                      <m:t>SCS</m:t>
                    </m:r>
                  </m:den>
                </m:f>
                <m:r>
                  <w:rPr>
                    <w:rFonts w:ascii="Cambria Math" w:hAnsi="Cambria Math"/>
                    <w:lang w:val="en-GB"/>
                  </w:rPr>
                  <m:t>+Ntone</m:t>
                </m:r>
              </m:e>
            </m:d>
          </m:e>
        </m:d>
      </m:oMath>
      <w:r>
        <w:rPr>
          <w:rFonts w:eastAsiaTheme="minorEastAsia"/>
          <w:lang w:val="en-GB"/>
        </w:rPr>
        <w:t>,</w:t>
      </w:r>
    </w:p>
    <w:p w14:paraId="15659C9F" w14:textId="695429A9" w:rsidR="00420A5B" w:rsidRDefault="007661F0" w:rsidP="00420A5B">
      <w:pPr>
        <w:pStyle w:val="ListParagraph"/>
        <w:rPr>
          <w:rFonts w:eastAsiaTheme="minorEastAsia"/>
          <w:lang w:val="en-GB"/>
        </w:rPr>
      </w:pPr>
      <w:r>
        <w:rPr>
          <w:lang w:val="en-GB"/>
        </w:rPr>
        <w:t>w</w:t>
      </w:r>
      <w:r w:rsidR="00420A5B">
        <w:rPr>
          <w:lang w:val="en-GB"/>
        </w:rPr>
        <w:t xml:space="preserve">here </w:t>
      </w:r>
      <m:oMath>
        <m:r>
          <w:rPr>
            <w:rFonts w:ascii="Cambria Math" w:hAnsi="Cambria Math"/>
            <w:lang w:val="en-GB"/>
          </w:rPr>
          <m:t>∆f</m:t>
        </m:r>
      </m:oMath>
      <w:r w:rsidR="00420A5B">
        <w:rPr>
          <w:rFonts w:eastAsiaTheme="minorEastAsia"/>
          <w:lang w:val="en-GB"/>
        </w:rPr>
        <w:t xml:space="preserve"> is the frequency offset, </w:t>
      </w:r>
      <m:oMath>
        <m:r>
          <w:rPr>
            <w:rFonts w:ascii="Cambria Math" w:hAnsi="Cambria Math"/>
            <w:lang w:val="en-GB"/>
          </w:rPr>
          <m:t>SCS</m:t>
        </m:r>
      </m:oMath>
      <w:r w:rsidR="00420A5B">
        <w:rPr>
          <w:rFonts w:eastAsiaTheme="minorEastAsia"/>
          <w:lang w:val="en-GB"/>
        </w:rPr>
        <w:t xml:space="preserve"> is the sub carrier spacing and </w:t>
      </w:r>
      <m:oMath>
        <m:r>
          <w:rPr>
            <w:rFonts w:ascii="Cambria Math" w:hAnsi="Cambria Math"/>
            <w:lang w:val="en-GB"/>
          </w:rPr>
          <m:t>Ntone</m:t>
        </m:r>
      </m:oMath>
      <w:r w:rsidR="00420A5B">
        <w:rPr>
          <w:rFonts w:eastAsiaTheme="minorEastAsia"/>
          <w:lang w:val="en-GB"/>
        </w:rPr>
        <w:t xml:space="preserve"> is the distance between the 2 tones. For V2X, </w:t>
      </w:r>
      <m:oMath>
        <m:r>
          <w:rPr>
            <w:rFonts w:ascii="Cambria Math" w:hAnsi="Cambria Math"/>
            <w:lang w:val="en-GB"/>
          </w:rPr>
          <m:t>SCS=15kHz</m:t>
        </m:r>
      </m:oMath>
      <w:r w:rsidR="00420A5B">
        <w:rPr>
          <w:rFonts w:eastAsiaTheme="minorEastAsia"/>
          <w:lang w:val="en-GB"/>
        </w:rPr>
        <w:t xml:space="preserve">, and worst case for </w:t>
      </w:r>
      <m:oMath>
        <m:r>
          <w:rPr>
            <w:rFonts w:ascii="Cambria Math" w:hAnsi="Cambria Math"/>
            <w:lang w:val="en-GB"/>
          </w:rPr>
          <m:t>∆f</m:t>
        </m:r>
      </m:oMath>
      <w:r w:rsidR="00420A5B">
        <w:rPr>
          <w:rFonts w:eastAsiaTheme="minorEastAsia"/>
          <w:lang w:val="en-GB"/>
        </w:rPr>
        <w:t xml:space="preserve"> is </w:t>
      </w:r>
      <w:r w:rsidR="00BC3380">
        <w:rPr>
          <w:rFonts w:eastAsiaTheme="minorEastAsia"/>
          <w:lang w:val="en-GB"/>
        </w:rPr>
        <w:t>5</w:t>
      </w:r>
      <w:r w:rsidR="00420A5B">
        <w:rPr>
          <w:rFonts w:eastAsiaTheme="minorEastAsia"/>
          <w:lang w:val="en-GB"/>
        </w:rPr>
        <w:t xml:space="preserve">kHz (assuming maximum frequency mismatch plus Doppler shift at high speed). Given the RB configuration proposed for the test, </w:t>
      </w:r>
      <m:oMath>
        <m:r>
          <w:rPr>
            <w:rFonts w:ascii="Cambria Math" w:hAnsi="Cambria Math"/>
            <w:lang w:val="en-GB"/>
          </w:rPr>
          <m:t>Ntone</m:t>
        </m:r>
      </m:oMath>
      <w:r w:rsidR="00420A5B">
        <w:rPr>
          <w:rFonts w:eastAsiaTheme="minorEastAsia"/>
          <w:lang w:val="en-GB"/>
        </w:rPr>
        <w:t xml:space="preserve"> is at least 120 (10RBs). The expect ICI value is then at most -52.8 dBc. By the same argument as above, we also believe that the effect if ICI is negligible.</w:t>
      </w:r>
    </w:p>
    <w:p w14:paraId="763642BF" w14:textId="77777777" w:rsidR="00420A5B" w:rsidRDefault="00420A5B" w:rsidP="00420A5B">
      <w:pPr>
        <w:pStyle w:val="ListParagraph"/>
        <w:ind w:left="0"/>
        <w:rPr>
          <w:rFonts w:eastAsiaTheme="minorEastAsia"/>
          <w:lang w:val="en-GB"/>
        </w:rPr>
      </w:pPr>
      <w:r>
        <w:rPr>
          <w:rFonts w:eastAsiaTheme="minorEastAsia"/>
          <w:lang w:val="en-GB"/>
        </w:rPr>
        <w:t>Based on the above analysis, we think that it is not infeasible at all to support even ICS of -30dBc in</w:t>
      </w:r>
      <w:r w:rsidR="00BC3380">
        <w:rPr>
          <w:rFonts w:eastAsiaTheme="minorEastAsia"/>
          <w:lang w:val="en-GB"/>
        </w:rPr>
        <w:t xml:space="preserve"> the test setting currently proposed in RAN4.</w:t>
      </w:r>
    </w:p>
    <w:p w14:paraId="1AAB8210" w14:textId="77777777" w:rsidR="00BC3380" w:rsidRDefault="00BC3380" w:rsidP="00420A5B">
      <w:pPr>
        <w:pStyle w:val="ListParagraph"/>
        <w:ind w:left="0"/>
        <w:rPr>
          <w:rFonts w:eastAsiaTheme="minorEastAsia"/>
          <w:i/>
          <w:lang w:val="en-GB"/>
        </w:rPr>
      </w:pPr>
      <w:r w:rsidRPr="00BC3380">
        <w:rPr>
          <w:rFonts w:eastAsiaTheme="minorEastAsia"/>
          <w:b/>
          <w:i/>
          <w:u w:val="single"/>
          <w:lang w:val="en-GB"/>
        </w:rPr>
        <w:t>Observation 1:</w:t>
      </w:r>
      <w:r>
        <w:rPr>
          <w:rFonts w:eastAsiaTheme="minorEastAsia"/>
          <w:b/>
          <w:i/>
          <w:u w:val="single"/>
          <w:lang w:val="en-GB"/>
        </w:rPr>
        <w:t xml:space="preserve"> </w:t>
      </w:r>
      <w:r>
        <w:rPr>
          <w:rFonts w:eastAsiaTheme="minorEastAsia"/>
          <w:i/>
          <w:lang w:val="en-GB"/>
        </w:rPr>
        <w:t>It is feasible to support ICS of -30dBc in the test setting considered for power imbalance test.</w:t>
      </w:r>
    </w:p>
    <w:p w14:paraId="40A97036" w14:textId="77777777" w:rsidR="00BC3380" w:rsidRPr="00BC3380" w:rsidRDefault="00BC3380" w:rsidP="00420A5B">
      <w:pPr>
        <w:pStyle w:val="ListParagraph"/>
        <w:ind w:left="0"/>
        <w:rPr>
          <w:b/>
          <w:lang w:val="en-GB"/>
        </w:rPr>
      </w:pPr>
      <w:r>
        <w:rPr>
          <w:rFonts w:eastAsiaTheme="minorEastAsia"/>
          <w:b/>
          <w:u w:val="single"/>
          <w:lang w:val="en-GB"/>
        </w:rPr>
        <w:t>Proposal 1:</w:t>
      </w:r>
      <w:r>
        <w:rPr>
          <w:rFonts w:eastAsiaTheme="minorEastAsia"/>
          <w:b/>
          <w:lang w:val="en-GB"/>
        </w:rPr>
        <w:t xml:space="preserve"> The ICS value in the power imbalance test should be set to -30dBc.</w:t>
      </w:r>
    </w:p>
    <w:p w14:paraId="3F429DA3" w14:textId="77777777" w:rsidR="00607454" w:rsidRDefault="004276ED" w:rsidP="004276ED">
      <w:pPr>
        <w:pStyle w:val="Heading1"/>
      </w:pPr>
      <w:r>
        <w:t>Simulation</w:t>
      </w:r>
    </w:p>
    <w:p w14:paraId="79A63DC5" w14:textId="77777777" w:rsidR="004276ED" w:rsidRDefault="00BC3380" w:rsidP="004276ED">
      <w:pPr>
        <w:rPr>
          <w:lang w:val="en-GB"/>
        </w:rPr>
      </w:pPr>
      <w:r>
        <w:rPr>
          <w:lang w:val="en-GB"/>
        </w:rPr>
        <w:t>To further verify the analysis in Section 2, we conduct a small simulation. The setting is as bellow</w:t>
      </w:r>
    </w:p>
    <w:p w14:paraId="799C9A4F" w14:textId="1787EFE0" w:rsidR="00BC3380" w:rsidRDefault="00BC3380" w:rsidP="004276ED">
      <w:pPr>
        <w:rPr>
          <w:rFonts w:eastAsiaTheme="minorEastAsia"/>
          <w:lang w:val="en-GB"/>
        </w:rPr>
      </w:pPr>
      <w:r>
        <w:rPr>
          <w:lang w:val="en-GB"/>
        </w:rPr>
        <w:t xml:space="preserve">We first generate a V2X baseband waveform that include 2RB of control and 3RB of data. The baseband waveform is the upconverted to 5.9GHz frequency. The upconverted waveform is then passed through a N bits uniform ADC and then down convert using a reference frequency of 5.9GHz +  </w:t>
      </w:r>
      <m:oMath>
        <m:r>
          <w:rPr>
            <w:rFonts w:ascii="Cambria Math" w:hAnsi="Cambria Math"/>
            <w:lang w:val="en-GB"/>
          </w:rPr>
          <m:t>∆f</m:t>
        </m:r>
      </m:oMath>
      <w:r>
        <w:rPr>
          <w:rFonts w:eastAsiaTheme="minorEastAsia"/>
          <w:lang w:val="en-GB"/>
        </w:rPr>
        <w:t xml:space="preserve"> where  </w:t>
      </w:r>
      <m:oMath>
        <m:r>
          <w:rPr>
            <w:rFonts w:ascii="Cambria Math" w:hAnsi="Cambria Math"/>
            <w:lang w:val="en-GB"/>
          </w:rPr>
          <m:t>∆f</m:t>
        </m:r>
      </m:oMath>
      <w:r>
        <w:rPr>
          <w:rFonts w:eastAsiaTheme="minorEastAsia"/>
          <w:lang w:val="en-GB"/>
        </w:rPr>
        <w:t xml:space="preserve"> is set to 5kHz. In the end, we measure the level of energy leaked to non-allocated RBs that is 10RBs away from the allocated RBs. This will quantify the leakage from strong link to weak link due to the combination effect of ADC and baseband processing.  </w:t>
      </w:r>
    </w:p>
    <w:p w14:paraId="550A1468" w14:textId="08AB501B" w:rsidR="004F6AAA" w:rsidRDefault="004F6AAA" w:rsidP="004276ED">
      <w:pPr>
        <w:rPr>
          <w:rFonts w:eastAsiaTheme="minorEastAsia"/>
          <w:lang w:val="en-GB"/>
        </w:rPr>
      </w:pPr>
      <w:r>
        <w:rPr>
          <w:rFonts w:eastAsiaTheme="minorEastAsia"/>
          <w:lang w:val="en-GB"/>
        </w:rPr>
        <w:t>The received power per RB is plotted in figure 1</w:t>
      </w:r>
      <w:r w:rsidR="00AA74A1">
        <w:rPr>
          <w:rFonts w:eastAsiaTheme="minorEastAsia"/>
          <w:lang w:val="en-GB"/>
        </w:rPr>
        <w:t>, with the total receive power normalized to 0dBm</w:t>
      </w:r>
      <w:r>
        <w:rPr>
          <w:rFonts w:eastAsiaTheme="minorEastAsia"/>
          <w:lang w:val="en-GB"/>
        </w:rPr>
        <w:t>. The simulation result confirm</w:t>
      </w:r>
      <w:r w:rsidR="007661F0">
        <w:rPr>
          <w:rFonts w:eastAsiaTheme="minorEastAsia"/>
          <w:lang w:val="en-GB"/>
        </w:rPr>
        <w:t>s</w:t>
      </w:r>
      <w:r>
        <w:rPr>
          <w:rFonts w:eastAsiaTheme="minorEastAsia"/>
          <w:lang w:val="en-GB"/>
        </w:rPr>
        <w:t xml:space="preserve"> the fact that ADC quantization noise is indeed white and should not significantly affect ICI given that more than </w:t>
      </w:r>
      <w:r w:rsidRPr="004F6AAA">
        <w:rPr>
          <w:rFonts w:eastAsiaTheme="minorEastAsia"/>
          <w:b/>
          <w:lang w:val="en-GB"/>
        </w:rPr>
        <w:t>4 bits</w:t>
      </w:r>
      <w:r>
        <w:rPr>
          <w:rFonts w:eastAsiaTheme="minorEastAsia"/>
          <w:lang w:val="en-GB"/>
        </w:rPr>
        <w:t xml:space="preserve"> ADC is used. </w:t>
      </w:r>
      <w:r w:rsidR="00320EEB">
        <w:rPr>
          <w:rFonts w:eastAsiaTheme="minorEastAsia"/>
          <w:lang w:val="en-GB"/>
        </w:rPr>
        <w:t>Indeed</w:t>
      </w:r>
      <w:r w:rsidR="007661F0">
        <w:rPr>
          <w:rFonts w:eastAsiaTheme="minorEastAsia"/>
          <w:lang w:val="en-GB"/>
        </w:rPr>
        <w:t>,</w:t>
      </w:r>
      <w:r w:rsidR="00320EEB">
        <w:rPr>
          <w:rFonts w:eastAsiaTheme="minorEastAsia"/>
          <w:lang w:val="en-GB"/>
        </w:rPr>
        <w:t xml:space="preserve"> the leakage ratio, i.e. the ratio between the energy measured in the RBs from 5 to 9 and the energy leaked to RBs from 20 to 25 are as follow</w:t>
      </w:r>
    </w:p>
    <w:tbl>
      <w:tblPr>
        <w:tblStyle w:val="TableGrid"/>
        <w:tblW w:w="0" w:type="auto"/>
        <w:tblLook w:val="04A0" w:firstRow="1" w:lastRow="0" w:firstColumn="1" w:lastColumn="0" w:noHBand="0" w:noVBand="1"/>
      </w:tblPr>
      <w:tblGrid>
        <w:gridCol w:w="2155"/>
        <w:gridCol w:w="1693"/>
        <w:gridCol w:w="1924"/>
        <w:gridCol w:w="1924"/>
        <w:gridCol w:w="1925"/>
      </w:tblGrid>
      <w:tr w:rsidR="00320EEB" w14:paraId="1A5EDCEC" w14:textId="77777777" w:rsidTr="00320EEB">
        <w:tc>
          <w:tcPr>
            <w:tcW w:w="2155" w:type="dxa"/>
          </w:tcPr>
          <w:p w14:paraId="72392F98" w14:textId="732F8BD9" w:rsidR="00320EEB" w:rsidRDefault="00320EEB" w:rsidP="004276ED">
            <w:pPr>
              <w:rPr>
                <w:rFonts w:eastAsiaTheme="minorEastAsia"/>
                <w:lang w:val="en-GB"/>
              </w:rPr>
            </w:pPr>
            <w:r>
              <w:rPr>
                <w:rFonts w:eastAsiaTheme="minorEastAsia"/>
                <w:lang w:val="en-GB"/>
              </w:rPr>
              <w:t>Number of ADC bits</w:t>
            </w:r>
          </w:p>
        </w:tc>
        <w:tc>
          <w:tcPr>
            <w:tcW w:w="1693" w:type="dxa"/>
          </w:tcPr>
          <w:p w14:paraId="16E3C778" w14:textId="57A8E93D" w:rsidR="00320EEB" w:rsidRDefault="00320EEB" w:rsidP="00320EEB">
            <w:pPr>
              <w:jc w:val="center"/>
              <w:rPr>
                <w:rFonts w:eastAsiaTheme="minorEastAsia"/>
                <w:lang w:val="en-GB"/>
              </w:rPr>
            </w:pPr>
            <w:r>
              <w:rPr>
                <w:rFonts w:eastAsiaTheme="minorEastAsia"/>
                <w:lang w:val="en-GB"/>
              </w:rPr>
              <w:t>4</w:t>
            </w:r>
          </w:p>
        </w:tc>
        <w:tc>
          <w:tcPr>
            <w:tcW w:w="1924" w:type="dxa"/>
          </w:tcPr>
          <w:p w14:paraId="3B67F3C7" w14:textId="4150D2FE" w:rsidR="00320EEB" w:rsidRDefault="00320EEB" w:rsidP="00320EEB">
            <w:pPr>
              <w:jc w:val="center"/>
              <w:rPr>
                <w:rFonts w:eastAsiaTheme="minorEastAsia"/>
                <w:lang w:val="en-GB"/>
              </w:rPr>
            </w:pPr>
            <w:r>
              <w:rPr>
                <w:rFonts w:eastAsiaTheme="minorEastAsia"/>
                <w:lang w:val="en-GB"/>
              </w:rPr>
              <w:t>6</w:t>
            </w:r>
          </w:p>
        </w:tc>
        <w:tc>
          <w:tcPr>
            <w:tcW w:w="1924" w:type="dxa"/>
          </w:tcPr>
          <w:p w14:paraId="1DFFE114" w14:textId="111959D1" w:rsidR="00320EEB" w:rsidRDefault="00320EEB" w:rsidP="00320EEB">
            <w:pPr>
              <w:jc w:val="center"/>
              <w:rPr>
                <w:rFonts w:eastAsiaTheme="minorEastAsia"/>
                <w:lang w:val="en-GB"/>
              </w:rPr>
            </w:pPr>
            <w:r>
              <w:rPr>
                <w:rFonts w:eastAsiaTheme="minorEastAsia"/>
                <w:lang w:val="en-GB"/>
              </w:rPr>
              <w:t>8</w:t>
            </w:r>
          </w:p>
        </w:tc>
        <w:tc>
          <w:tcPr>
            <w:tcW w:w="1925" w:type="dxa"/>
          </w:tcPr>
          <w:p w14:paraId="7C6A7030" w14:textId="0CCCA8DA" w:rsidR="00320EEB" w:rsidRDefault="00320EEB" w:rsidP="00320EEB">
            <w:pPr>
              <w:jc w:val="center"/>
              <w:rPr>
                <w:rFonts w:eastAsiaTheme="minorEastAsia"/>
                <w:lang w:val="en-GB"/>
              </w:rPr>
            </w:pPr>
            <w:r>
              <w:rPr>
                <w:rFonts w:eastAsiaTheme="minorEastAsia"/>
                <w:lang w:val="en-GB"/>
              </w:rPr>
              <w:t>12</w:t>
            </w:r>
          </w:p>
        </w:tc>
      </w:tr>
      <w:tr w:rsidR="00320EEB" w14:paraId="783CD3BE" w14:textId="77777777" w:rsidTr="00320EEB">
        <w:tc>
          <w:tcPr>
            <w:tcW w:w="2155" w:type="dxa"/>
          </w:tcPr>
          <w:p w14:paraId="444E0A66" w14:textId="1FD68F49" w:rsidR="00320EEB" w:rsidRDefault="00320EEB" w:rsidP="004276ED">
            <w:pPr>
              <w:rPr>
                <w:rFonts w:eastAsiaTheme="minorEastAsia"/>
                <w:lang w:val="en-GB"/>
              </w:rPr>
            </w:pPr>
            <w:r>
              <w:rPr>
                <w:rFonts w:eastAsiaTheme="minorEastAsia"/>
                <w:lang w:val="en-GB"/>
              </w:rPr>
              <w:t>Leakage ratio (</w:t>
            </w:r>
            <w:proofErr w:type="spellStart"/>
            <w:r>
              <w:rPr>
                <w:rFonts w:eastAsiaTheme="minorEastAsia"/>
                <w:lang w:val="en-GB"/>
              </w:rPr>
              <w:t>dBc</w:t>
            </w:r>
            <w:proofErr w:type="spellEnd"/>
            <w:r>
              <w:rPr>
                <w:rFonts w:eastAsiaTheme="minorEastAsia"/>
                <w:lang w:val="en-GB"/>
              </w:rPr>
              <w:t>)</w:t>
            </w:r>
          </w:p>
        </w:tc>
        <w:tc>
          <w:tcPr>
            <w:tcW w:w="1693" w:type="dxa"/>
          </w:tcPr>
          <w:p w14:paraId="00F1BB88" w14:textId="5A9EDC70" w:rsidR="00320EEB" w:rsidRDefault="00320EEB" w:rsidP="00320EEB">
            <w:pPr>
              <w:jc w:val="center"/>
              <w:rPr>
                <w:rFonts w:eastAsiaTheme="minorEastAsia"/>
                <w:lang w:val="en-GB"/>
              </w:rPr>
            </w:pPr>
            <w:r w:rsidRPr="00320EEB">
              <w:rPr>
                <w:rFonts w:eastAsiaTheme="minorEastAsia"/>
                <w:lang w:val="en-GB"/>
              </w:rPr>
              <w:t>35.0522</w:t>
            </w:r>
          </w:p>
        </w:tc>
        <w:tc>
          <w:tcPr>
            <w:tcW w:w="1924" w:type="dxa"/>
          </w:tcPr>
          <w:p w14:paraId="54B40707" w14:textId="1B7BA622" w:rsidR="00320EEB" w:rsidRDefault="00320EEB" w:rsidP="00320EEB">
            <w:pPr>
              <w:jc w:val="center"/>
              <w:rPr>
                <w:rFonts w:eastAsiaTheme="minorEastAsia"/>
                <w:lang w:val="en-GB"/>
              </w:rPr>
            </w:pPr>
            <w:r w:rsidRPr="00320EEB">
              <w:rPr>
                <w:rFonts w:eastAsiaTheme="minorEastAsia"/>
                <w:lang w:val="en-GB"/>
              </w:rPr>
              <w:t>38.8346</w:t>
            </w:r>
          </w:p>
        </w:tc>
        <w:tc>
          <w:tcPr>
            <w:tcW w:w="1924" w:type="dxa"/>
          </w:tcPr>
          <w:p w14:paraId="197E8158" w14:textId="71A119F9" w:rsidR="00320EEB" w:rsidRDefault="00320EEB" w:rsidP="00320EEB">
            <w:pPr>
              <w:jc w:val="center"/>
              <w:rPr>
                <w:rFonts w:eastAsiaTheme="minorEastAsia"/>
                <w:lang w:val="en-GB"/>
              </w:rPr>
            </w:pPr>
            <w:r w:rsidRPr="00320EEB">
              <w:rPr>
                <w:rFonts w:eastAsiaTheme="minorEastAsia"/>
                <w:lang w:val="en-GB"/>
              </w:rPr>
              <w:t>39.0481</w:t>
            </w:r>
          </w:p>
        </w:tc>
        <w:tc>
          <w:tcPr>
            <w:tcW w:w="1925" w:type="dxa"/>
          </w:tcPr>
          <w:p w14:paraId="2534DE31" w14:textId="06838AB0" w:rsidR="00320EEB" w:rsidRDefault="00320EEB" w:rsidP="00320EEB">
            <w:pPr>
              <w:jc w:val="center"/>
              <w:rPr>
                <w:rFonts w:eastAsiaTheme="minorEastAsia"/>
                <w:lang w:val="en-GB"/>
              </w:rPr>
            </w:pPr>
            <w:r w:rsidRPr="00320EEB">
              <w:rPr>
                <w:rFonts w:eastAsiaTheme="minorEastAsia"/>
                <w:lang w:val="en-GB"/>
              </w:rPr>
              <w:t>39.0662</w:t>
            </w:r>
          </w:p>
        </w:tc>
      </w:tr>
    </w:tbl>
    <w:p w14:paraId="3EA6BCED" w14:textId="733346FF" w:rsidR="00320EEB" w:rsidRDefault="00320EEB" w:rsidP="004276ED">
      <w:pPr>
        <w:rPr>
          <w:rFonts w:eastAsiaTheme="minorEastAsia"/>
          <w:lang w:val="en-GB"/>
        </w:rPr>
      </w:pPr>
    </w:p>
    <w:p w14:paraId="11379050" w14:textId="4CE6AAD9" w:rsidR="00320EEB" w:rsidRDefault="00320EEB" w:rsidP="004276ED">
      <w:pPr>
        <w:rPr>
          <w:rFonts w:eastAsiaTheme="minorEastAsia"/>
          <w:lang w:val="en-GB"/>
        </w:rPr>
      </w:pPr>
      <w:r>
        <w:rPr>
          <w:rFonts w:eastAsiaTheme="minorEastAsia"/>
          <w:lang w:val="en-GB"/>
        </w:rPr>
        <w:t>Indeed, when the number of ADC bits is above 8, the dictated terms become the IBE limit of the waveform.</w:t>
      </w:r>
    </w:p>
    <w:p w14:paraId="49F55619" w14:textId="149394D1" w:rsidR="004F6AAA" w:rsidRDefault="004F6AAA" w:rsidP="004276ED">
      <w:pPr>
        <w:rPr>
          <w:lang w:val="en-GB"/>
        </w:rPr>
      </w:pPr>
      <w:r w:rsidRPr="004F6AAA">
        <w:rPr>
          <w:noProof/>
        </w:rPr>
        <w:lastRenderedPageBreak/>
        <w:drawing>
          <wp:inline distT="0" distB="0" distL="0" distR="0" wp14:anchorId="7CC0D7EF" wp14:editId="19046286">
            <wp:extent cx="6115685" cy="29673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15685" cy="2967355"/>
                    </a:xfrm>
                    <a:prstGeom prst="rect">
                      <a:avLst/>
                    </a:prstGeom>
                  </pic:spPr>
                </pic:pic>
              </a:graphicData>
            </a:graphic>
          </wp:inline>
        </w:drawing>
      </w:r>
    </w:p>
    <w:p w14:paraId="4F997C91" w14:textId="0361C543" w:rsidR="004F6AAA" w:rsidRDefault="004F6AAA" w:rsidP="004F6AAA">
      <w:pPr>
        <w:jc w:val="center"/>
        <w:rPr>
          <w:b/>
          <w:lang w:val="en-GB"/>
        </w:rPr>
      </w:pPr>
      <w:r>
        <w:rPr>
          <w:b/>
          <w:lang w:val="en-GB"/>
        </w:rPr>
        <w:t>Figure 1: Receive Power per RB.</w:t>
      </w:r>
    </w:p>
    <w:p w14:paraId="581C18D6" w14:textId="16F760C3" w:rsidR="00320EEB" w:rsidRDefault="00320EEB" w:rsidP="00320EEB">
      <w:pPr>
        <w:pStyle w:val="ListParagraph"/>
        <w:ind w:left="0"/>
        <w:rPr>
          <w:rFonts w:eastAsiaTheme="minorEastAsia"/>
          <w:i/>
          <w:lang w:val="en-GB"/>
        </w:rPr>
      </w:pPr>
      <w:r>
        <w:rPr>
          <w:rFonts w:eastAsiaTheme="minorEastAsia"/>
          <w:b/>
          <w:i/>
          <w:u w:val="single"/>
          <w:lang w:val="en-GB"/>
        </w:rPr>
        <w:t>Observation 2</w:t>
      </w:r>
      <w:r w:rsidRPr="00BC3380">
        <w:rPr>
          <w:rFonts w:eastAsiaTheme="minorEastAsia"/>
          <w:b/>
          <w:i/>
          <w:u w:val="single"/>
          <w:lang w:val="en-GB"/>
        </w:rPr>
        <w:t>:</w:t>
      </w:r>
      <w:r>
        <w:rPr>
          <w:rFonts w:eastAsiaTheme="minorEastAsia"/>
          <w:b/>
          <w:i/>
          <w:u w:val="single"/>
          <w:lang w:val="en-GB"/>
        </w:rPr>
        <w:t xml:space="preserve"> </w:t>
      </w:r>
      <w:r>
        <w:rPr>
          <w:rFonts w:eastAsiaTheme="minorEastAsia"/>
          <w:i/>
          <w:lang w:val="en-GB"/>
        </w:rPr>
        <w:t>Simulation result show that the composite effect of ICI and ADC quantization noise is at most 35dBc in the most extreme case. As such, they should not affect the ICI performance.</w:t>
      </w:r>
    </w:p>
    <w:p w14:paraId="58D95BED" w14:textId="77777777" w:rsidR="00320EEB" w:rsidRPr="004276ED" w:rsidRDefault="00320EEB" w:rsidP="00320EEB">
      <w:pPr>
        <w:rPr>
          <w:lang w:val="en-GB"/>
        </w:rPr>
      </w:pPr>
    </w:p>
    <w:p w14:paraId="07D8D0B3" w14:textId="77777777" w:rsidR="00AC1D3D" w:rsidRDefault="00AC1D3D" w:rsidP="00AC1D3D">
      <w:pPr>
        <w:pStyle w:val="Heading1"/>
      </w:pPr>
      <w:r>
        <w:t>Conclusions</w:t>
      </w:r>
    </w:p>
    <w:p w14:paraId="23CB0A38" w14:textId="720C03C2" w:rsidR="00BC3380" w:rsidRDefault="00BC3380" w:rsidP="00BC3380">
      <w:pPr>
        <w:pStyle w:val="ListParagraph"/>
        <w:ind w:left="0"/>
        <w:rPr>
          <w:rFonts w:eastAsiaTheme="minorEastAsia"/>
          <w:i/>
          <w:lang w:val="en-GB"/>
        </w:rPr>
      </w:pPr>
      <w:r w:rsidRPr="00BC3380">
        <w:rPr>
          <w:rFonts w:eastAsiaTheme="minorEastAsia"/>
          <w:b/>
          <w:i/>
          <w:u w:val="single"/>
          <w:lang w:val="en-GB"/>
        </w:rPr>
        <w:t>Observation 1:</w:t>
      </w:r>
      <w:r>
        <w:rPr>
          <w:rFonts w:eastAsiaTheme="minorEastAsia"/>
          <w:b/>
          <w:i/>
          <w:u w:val="single"/>
          <w:lang w:val="en-GB"/>
        </w:rPr>
        <w:t xml:space="preserve"> </w:t>
      </w:r>
      <w:r>
        <w:rPr>
          <w:rFonts w:eastAsiaTheme="minorEastAsia"/>
          <w:i/>
          <w:lang w:val="en-GB"/>
        </w:rPr>
        <w:t>It is feasible to support ICS of -30dBc in the test setting considered for power imbalance test.</w:t>
      </w:r>
    </w:p>
    <w:p w14:paraId="51F91C1E" w14:textId="2DB2880E" w:rsidR="00320EEB" w:rsidRDefault="00320EEB" w:rsidP="00BC3380">
      <w:pPr>
        <w:pStyle w:val="ListParagraph"/>
        <w:ind w:left="0"/>
        <w:rPr>
          <w:rFonts w:eastAsiaTheme="minorEastAsia"/>
          <w:i/>
          <w:lang w:val="en-GB"/>
        </w:rPr>
      </w:pPr>
      <w:r>
        <w:rPr>
          <w:rFonts w:eastAsiaTheme="minorEastAsia"/>
          <w:b/>
          <w:i/>
          <w:u w:val="single"/>
          <w:lang w:val="en-GB"/>
        </w:rPr>
        <w:t>Observation 2</w:t>
      </w:r>
      <w:r w:rsidRPr="00BC3380">
        <w:rPr>
          <w:rFonts w:eastAsiaTheme="minorEastAsia"/>
          <w:b/>
          <w:i/>
          <w:u w:val="single"/>
          <w:lang w:val="en-GB"/>
        </w:rPr>
        <w:t>:</w:t>
      </w:r>
      <w:r>
        <w:rPr>
          <w:rFonts w:eastAsiaTheme="minorEastAsia"/>
          <w:b/>
          <w:i/>
          <w:u w:val="single"/>
          <w:lang w:val="en-GB"/>
        </w:rPr>
        <w:t xml:space="preserve"> </w:t>
      </w:r>
      <w:r>
        <w:rPr>
          <w:rFonts w:eastAsiaTheme="minorEastAsia"/>
          <w:i/>
          <w:lang w:val="en-GB"/>
        </w:rPr>
        <w:t>Simulation result show that the composite effect of ICI and ADC quantization noise is at most 35dBc in the most extreme case. As such, they should not affect the ICI performance.</w:t>
      </w:r>
    </w:p>
    <w:p w14:paraId="3F53B9BF" w14:textId="77777777" w:rsidR="00BC3380" w:rsidRPr="00BC3380" w:rsidRDefault="00BC3380" w:rsidP="00BC3380">
      <w:pPr>
        <w:pStyle w:val="ListParagraph"/>
        <w:ind w:left="0"/>
        <w:rPr>
          <w:b/>
          <w:lang w:val="en-GB"/>
        </w:rPr>
      </w:pPr>
      <w:r>
        <w:rPr>
          <w:rFonts w:eastAsiaTheme="minorEastAsia"/>
          <w:b/>
          <w:u w:val="single"/>
          <w:lang w:val="en-GB"/>
        </w:rPr>
        <w:t>Proposal 1:</w:t>
      </w:r>
      <w:r>
        <w:rPr>
          <w:rFonts w:eastAsiaTheme="minorEastAsia"/>
          <w:b/>
          <w:lang w:val="en-GB"/>
        </w:rPr>
        <w:t xml:space="preserve"> The ICS value in the power imbalance test should be set to -30dBc.</w:t>
      </w:r>
    </w:p>
    <w:p w14:paraId="0A099F18" w14:textId="77777777" w:rsidR="00607454" w:rsidRPr="00607454" w:rsidRDefault="00607454" w:rsidP="00607454">
      <w:pPr>
        <w:rPr>
          <w:rFonts w:ascii="Times New Roman" w:hAnsi="Times New Roman" w:cs="Times New Roman"/>
          <w:b/>
          <w:lang w:val="en-GB"/>
        </w:rPr>
      </w:pPr>
    </w:p>
    <w:p w14:paraId="2E2912DE" w14:textId="77777777" w:rsidR="00AC1D3D" w:rsidRPr="00C97B98" w:rsidRDefault="00607454" w:rsidP="00607454">
      <w:pPr>
        <w:pStyle w:val="Heading1"/>
      </w:pPr>
      <w:r>
        <w:t>References</w:t>
      </w:r>
    </w:p>
    <w:p w14:paraId="78C59C7F" w14:textId="77777777" w:rsidR="00BC3380" w:rsidRPr="00BC3380" w:rsidRDefault="00592EA3" w:rsidP="00BC3380">
      <w:r>
        <w:t xml:space="preserve">[1] </w:t>
      </w:r>
      <w:r w:rsidRPr="00592EA3">
        <w:t>R4</w:t>
      </w:r>
      <w:r w:rsidR="00BC3380" w:rsidRPr="00BC3380">
        <w:t xml:space="preserve"> -1706213</w:t>
      </w:r>
      <w:r w:rsidR="00BC3380">
        <w:t xml:space="preserve"> -</w:t>
      </w:r>
      <w:r>
        <w:t xml:space="preserve"> </w:t>
      </w:r>
      <w:r w:rsidR="00BC3380">
        <w:rPr>
          <w:rFonts w:hint="eastAsia"/>
        </w:rPr>
        <w:t xml:space="preserve">WF on demodulation performance </w:t>
      </w:r>
      <w:r w:rsidR="00BC3380" w:rsidRPr="00BC3380">
        <w:rPr>
          <w:rFonts w:hint="eastAsia"/>
        </w:rPr>
        <w:t>for V2X UE</w:t>
      </w:r>
      <w:r w:rsidR="00BC3380">
        <w:t xml:space="preserve">. </w:t>
      </w:r>
      <w:r w:rsidR="00BC3380" w:rsidRPr="00BC3380">
        <w:rPr>
          <w:rFonts w:hint="eastAsia"/>
        </w:rPr>
        <w:t>CATT, LG Electronics, Huawei</w:t>
      </w:r>
    </w:p>
    <w:p w14:paraId="5011A9C6" w14:textId="5660D5AF" w:rsidR="00612714" w:rsidRDefault="00BC3380">
      <w:pPr>
        <w:rPr>
          <w:rFonts w:ascii="Arial" w:hAnsi="Arial" w:cs="Arial"/>
          <w:color w:val="000000"/>
          <w:sz w:val="18"/>
          <w:szCs w:val="18"/>
        </w:rPr>
      </w:pPr>
      <w:r>
        <w:t xml:space="preserve">[2] </w:t>
      </w:r>
      <w:r w:rsidRPr="00BC3380">
        <w:t>R4-1705949</w:t>
      </w:r>
      <w:r>
        <w:t xml:space="preserve"> -  </w:t>
      </w:r>
      <w:r>
        <w:rPr>
          <w:rFonts w:ascii="Arial" w:hAnsi="Arial" w:cs="Arial"/>
          <w:color w:val="000000"/>
          <w:sz w:val="18"/>
          <w:szCs w:val="18"/>
        </w:rPr>
        <w:t>CR for V2V Performance Requirements</w:t>
      </w:r>
      <w:r w:rsidR="00612714">
        <w:rPr>
          <w:rFonts w:ascii="Arial" w:hAnsi="Arial" w:cs="Arial"/>
          <w:color w:val="000000"/>
          <w:sz w:val="18"/>
          <w:szCs w:val="18"/>
        </w:rPr>
        <w:t>. LG Electronics Inc.</w:t>
      </w:r>
    </w:p>
    <w:p w14:paraId="5BF2766F" w14:textId="7C9493AE" w:rsidR="007661F0" w:rsidRPr="00612714" w:rsidRDefault="007661F0" w:rsidP="007661F0">
      <w:pPr>
        <w:rPr>
          <w:rFonts w:ascii="Arial" w:hAnsi="Arial" w:cs="Arial"/>
          <w:color w:val="000000"/>
          <w:sz w:val="18"/>
          <w:szCs w:val="18"/>
        </w:rPr>
      </w:pPr>
      <w:r>
        <w:t xml:space="preserve">[3] </w:t>
      </w:r>
      <w:r w:rsidRPr="007661F0">
        <w:t>R4-1702770</w:t>
      </w:r>
      <w:r>
        <w:t xml:space="preserve"> - </w:t>
      </w:r>
      <w:r w:rsidRPr="007661F0">
        <w:t xml:space="preserve"> Remaining Issues in V2V </w:t>
      </w:r>
      <w:proofErr w:type="spellStart"/>
      <w:r w:rsidRPr="007661F0">
        <w:t>demod</w:t>
      </w:r>
      <w:proofErr w:type="spellEnd"/>
      <w:r w:rsidRPr="007661F0">
        <w:t xml:space="preserve"> tests</w:t>
      </w:r>
      <w:r>
        <w:t>. Qualcomm Inc.</w:t>
      </w:r>
    </w:p>
    <w:sectPr w:rsidR="007661F0" w:rsidRPr="00612714" w:rsidSect="00DD6E96">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50AA25" w14:textId="77777777" w:rsidR="00FF2BDD" w:rsidRDefault="00FF2BDD">
      <w:pPr>
        <w:spacing w:after="0" w:line="240" w:lineRule="auto"/>
      </w:pPr>
      <w:r>
        <w:separator/>
      </w:r>
    </w:p>
  </w:endnote>
  <w:endnote w:type="continuationSeparator" w:id="0">
    <w:p w14:paraId="7ECF58FD" w14:textId="77777777" w:rsidR="00FF2BDD" w:rsidRDefault="00FF2B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thJax_Math-italic">
    <w:altName w:val="Cambria"/>
    <w:panose1 w:val="00000000000000000000"/>
    <w:charset w:val="00"/>
    <w:family w:val="roman"/>
    <w:notTrueType/>
    <w:pitch w:val="default"/>
  </w:font>
  <w:font w:name="Helvetica">
    <w:panose1 w:val="020B0604020202020204"/>
    <w:charset w:val="00"/>
    <w:family w:val="swiss"/>
    <w:pitch w:val="variable"/>
    <w:sig w:usb0="E0002AFF" w:usb1="C0007843" w:usb2="00000009" w:usb3="00000000" w:csb0="000001FF" w:csb1="00000000"/>
  </w:font>
  <w:font w:name="MathJax_Main">
    <w:altName w:val="Cambria"/>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480C4" w14:textId="77777777" w:rsidR="002514C1" w:rsidRDefault="00813C6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C9C9BAB" w14:textId="77777777" w:rsidR="002514C1" w:rsidRDefault="00FF2B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E1D060" w14:textId="6EE3A714" w:rsidR="002514C1" w:rsidRDefault="00813C6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B70E7">
      <w:rPr>
        <w:rStyle w:val="PageNumber"/>
      </w:rPr>
      <w:t>1</w:t>
    </w:r>
    <w:r>
      <w:rPr>
        <w:rStyle w:val="PageNumber"/>
      </w:rPr>
      <w:fldChar w:fldCharType="end"/>
    </w:r>
  </w:p>
  <w:p w14:paraId="4103A155" w14:textId="77777777" w:rsidR="002514C1" w:rsidRDefault="00FF2BD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267721" w14:textId="77777777" w:rsidR="00FF2BDD" w:rsidRDefault="00FF2BDD">
      <w:pPr>
        <w:spacing w:after="0" w:line="240" w:lineRule="auto"/>
      </w:pPr>
      <w:r>
        <w:separator/>
      </w:r>
    </w:p>
  </w:footnote>
  <w:footnote w:type="continuationSeparator" w:id="0">
    <w:p w14:paraId="108A38A0" w14:textId="77777777" w:rsidR="00FF2BDD" w:rsidRDefault="00FF2B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B0C8E"/>
    <w:multiLevelType w:val="hybridMultilevel"/>
    <w:tmpl w:val="A0B82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0678DA"/>
    <w:multiLevelType w:val="hybridMultilevel"/>
    <w:tmpl w:val="4E687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2710B"/>
    <w:multiLevelType w:val="hybridMultilevel"/>
    <w:tmpl w:val="FDD8D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7703D"/>
    <w:multiLevelType w:val="hybridMultilevel"/>
    <w:tmpl w:val="4E56A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93631"/>
    <w:multiLevelType w:val="hybridMultilevel"/>
    <w:tmpl w:val="4E5EF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B14C63"/>
    <w:multiLevelType w:val="hybridMultilevel"/>
    <w:tmpl w:val="D28CDF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BE19B3"/>
    <w:multiLevelType w:val="hybridMultilevel"/>
    <w:tmpl w:val="29E48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2519F8"/>
    <w:multiLevelType w:val="hybridMultilevel"/>
    <w:tmpl w:val="03D8C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05B41C36"/>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CB0419E"/>
    <w:multiLevelType w:val="hybridMultilevel"/>
    <w:tmpl w:val="38823824"/>
    <w:lvl w:ilvl="0" w:tplc="2A74EA00">
      <w:start w:val="1"/>
      <w:numFmt w:val="bullet"/>
      <w:lvlText w:val="•"/>
      <w:lvlJc w:val="left"/>
      <w:pPr>
        <w:tabs>
          <w:tab w:val="num" w:pos="720"/>
        </w:tabs>
        <w:ind w:left="720" w:hanging="360"/>
      </w:pPr>
      <w:rPr>
        <w:rFonts w:ascii="Arial" w:hAnsi="Arial" w:hint="default"/>
      </w:rPr>
    </w:lvl>
    <w:lvl w:ilvl="1" w:tplc="A898785E">
      <w:numFmt w:val="bullet"/>
      <w:lvlText w:val="–"/>
      <w:lvlJc w:val="left"/>
      <w:pPr>
        <w:tabs>
          <w:tab w:val="num" w:pos="1440"/>
        </w:tabs>
        <w:ind w:left="1440" w:hanging="360"/>
      </w:pPr>
      <w:rPr>
        <w:rFonts w:ascii="Arial" w:hAnsi="Arial" w:hint="default"/>
      </w:rPr>
    </w:lvl>
    <w:lvl w:ilvl="2" w:tplc="211A5114" w:tentative="1">
      <w:start w:val="1"/>
      <w:numFmt w:val="bullet"/>
      <w:lvlText w:val="•"/>
      <w:lvlJc w:val="left"/>
      <w:pPr>
        <w:tabs>
          <w:tab w:val="num" w:pos="2160"/>
        </w:tabs>
        <w:ind w:left="2160" w:hanging="360"/>
      </w:pPr>
      <w:rPr>
        <w:rFonts w:ascii="Arial" w:hAnsi="Arial" w:hint="default"/>
      </w:rPr>
    </w:lvl>
    <w:lvl w:ilvl="3" w:tplc="D730EBD2" w:tentative="1">
      <w:start w:val="1"/>
      <w:numFmt w:val="bullet"/>
      <w:lvlText w:val="•"/>
      <w:lvlJc w:val="left"/>
      <w:pPr>
        <w:tabs>
          <w:tab w:val="num" w:pos="2880"/>
        </w:tabs>
        <w:ind w:left="2880" w:hanging="360"/>
      </w:pPr>
      <w:rPr>
        <w:rFonts w:ascii="Arial" w:hAnsi="Arial" w:hint="default"/>
      </w:rPr>
    </w:lvl>
    <w:lvl w:ilvl="4" w:tplc="8D2098D6" w:tentative="1">
      <w:start w:val="1"/>
      <w:numFmt w:val="bullet"/>
      <w:lvlText w:val="•"/>
      <w:lvlJc w:val="left"/>
      <w:pPr>
        <w:tabs>
          <w:tab w:val="num" w:pos="3600"/>
        </w:tabs>
        <w:ind w:left="3600" w:hanging="360"/>
      </w:pPr>
      <w:rPr>
        <w:rFonts w:ascii="Arial" w:hAnsi="Arial" w:hint="default"/>
      </w:rPr>
    </w:lvl>
    <w:lvl w:ilvl="5" w:tplc="CA747496" w:tentative="1">
      <w:start w:val="1"/>
      <w:numFmt w:val="bullet"/>
      <w:lvlText w:val="•"/>
      <w:lvlJc w:val="left"/>
      <w:pPr>
        <w:tabs>
          <w:tab w:val="num" w:pos="4320"/>
        </w:tabs>
        <w:ind w:left="4320" w:hanging="360"/>
      </w:pPr>
      <w:rPr>
        <w:rFonts w:ascii="Arial" w:hAnsi="Arial" w:hint="default"/>
      </w:rPr>
    </w:lvl>
    <w:lvl w:ilvl="6" w:tplc="32FA2F60" w:tentative="1">
      <w:start w:val="1"/>
      <w:numFmt w:val="bullet"/>
      <w:lvlText w:val="•"/>
      <w:lvlJc w:val="left"/>
      <w:pPr>
        <w:tabs>
          <w:tab w:val="num" w:pos="5040"/>
        </w:tabs>
        <w:ind w:left="5040" w:hanging="360"/>
      </w:pPr>
      <w:rPr>
        <w:rFonts w:ascii="Arial" w:hAnsi="Arial" w:hint="default"/>
      </w:rPr>
    </w:lvl>
    <w:lvl w:ilvl="7" w:tplc="BF0CAF7A" w:tentative="1">
      <w:start w:val="1"/>
      <w:numFmt w:val="bullet"/>
      <w:lvlText w:val="•"/>
      <w:lvlJc w:val="left"/>
      <w:pPr>
        <w:tabs>
          <w:tab w:val="num" w:pos="5760"/>
        </w:tabs>
        <w:ind w:left="5760" w:hanging="360"/>
      </w:pPr>
      <w:rPr>
        <w:rFonts w:ascii="Arial" w:hAnsi="Arial" w:hint="default"/>
      </w:rPr>
    </w:lvl>
    <w:lvl w:ilvl="8" w:tplc="57DC24F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FF801FF"/>
    <w:multiLevelType w:val="hybridMultilevel"/>
    <w:tmpl w:val="836AF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20148B"/>
    <w:multiLevelType w:val="hybridMultilevel"/>
    <w:tmpl w:val="AD841FD0"/>
    <w:lvl w:ilvl="0" w:tplc="DC9CDBC0">
      <w:start w:val="1"/>
      <w:numFmt w:val="bullet"/>
      <w:lvlText w:val="•"/>
      <w:lvlJc w:val="left"/>
      <w:pPr>
        <w:tabs>
          <w:tab w:val="num" w:pos="360"/>
        </w:tabs>
        <w:ind w:left="360" w:hanging="360"/>
      </w:pPr>
      <w:rPr>
        <w:rFonts w:ascii="Arial" w:hAnsi="Arial" w:hint="default"/>
      </w:rPr>
    </w:lvl>
    <w:lvl w:ilvl="1" w:tplc="F500B2F6">
      <w:numFmt w:val="bullet"/>
      <w:lvlText w:val="–"/>
      <w:lvlJc w:val="left"/>
      <w:pPr>
        <w:tabs>
          <w:tab w:val="num" w:pos="1080"/>
        </w:tabs>
        <w:ind w:left="1080" w:hanging="360"/>
      </w:pPr>
      <w:rPr>
        <w:rFonts w:ascii="Arial" w:hAnsi="Arial" w:hint="default"/>
      </w:rPr>
    </w:lvl>
    <w:lvl w:ilvl="2" w:tplc="0888B8A4">
      <w:numFmt w:val="bullet"/>
      <w:lvlText w:val="•"/>
      <w:lvlJc w:val="left"/>
      <w:pPr>
        <w:tabs>
          <w:tab w:val="num" w:pos="1800"/>
        </w:tabs>
        <w:ind w:left="1800" w:hanging="360"/>
      </w:pPr>
      <w:rPr>
        <w:rFonts w:ascii="Arial" w:hAnsi="Arial" w:hint="default"/>
      </w:rPr>
    </w:lvl>
    <w:lvl w:ilvl="3" w:tplc="FEDA8270">
      <w:numFmt w:val="bullet"/>
      <w:lvlText w:val="–"/>
      <w:lvlJc w:val="left"/>
      <w:pPr>
        <w:tabs>
          <w:tab w:val="num" w:pos="2520"/>
        </w:tabs>
        <w:ind w:left="2520" w:hanging="360"/>
      </w:pPr>
      <w:rPr>
        <w:rFonts w:ascii="Arial" w:hAnsi="Arial" w:hint="default"/>
      </w:rPr>
    </w:lvl>
    <w:lvl w:ilvl="4" w:tplc="9FC4C858" w:tentative="1">
      <w:start w:val="1"/>
      <w:numFmt w:val="bullet"/>
      <w:lvlText w:val="•"/>
      <w:lvlJc w:val="left"/>
      <w:pPr>
        <w:tabs>
          <w:tab w:val="num" w:pos="3240"/>
        </w:tabs>
        <w:ind w:left="3240" w:hanging="360"/>
      </w:pPr>
      <w:rPr>
        <w:rFonts w:ascii="Arial" w:hAnsi="Arial" w:hint="default"/>
      </w:rPr>
    </w:lvl>
    <w:lvl w:ilvl="5" w:tplc="6DD29AA0" w:tentative="1">
      <w:start w:val="1"/>
      <w:numFmt w:val="bullet"/>
      <w:lvlText w:val="•"/>
      <w:lvlJc w:val="left"/>
      <w:pPr>
        <w:tabs>
          <w:tab w:val="num" w:pos="3960"/>
        </w:tabs>
        <w:ind w:left="3960" w:hanging="360"/>
      </w:pPr>
      <w:rPr>
        <w:rFonts w:ascii="Arial" w:hAnsi="Arial" w:hint="default"/>
      </w:rPr>
    </w:lvl>
    <w:lvl w:ilvl="6" w:tplc="7DA80012" w:tentative="1">
      <w:start w:val="1"/>
      <w:numFmt w:val="bullet"/>
      <w:lvlText w:val="•"/>
      <w:lvlJc w:val="left"/>
      <w:pPr>
        <w:tabs>
          <w:tab w:val="num" w:pos="4680"/>
        </w:tabs>
        <w:ind w:left="4680" w:hanging="360"/>
      </w:pPr>
      <w:rPr>
        <w:rFonts w:ascii="Arial" w:hAnsi="Arial" w:hint="default"/>
      </w:rPr>
    </w:lvl>
    <w:lvl w:ilvl="7" w:tplc="F1F035F0" w:tentative="1">
      <w:start w:val="1"/>
      <w:numFmt w:val="bullet"/>
      <w:lvlText w:val="•"/>
      <w:lvlJc w:val="left"/>
      <w:pPr>
        <w:tabs>
          <w:tab w:val="num" w:pos="5400"/>
        </w:tabs>
        <w:ind w:left="5400" w:hanging="360"/>
      </w:pPr>
      <w:rPr>
        <w:rFonts w:ascii="Arial" w:hAnsi="Arial" w:hint="default"/>
      </w:rPr>
    </w:lvl>
    <w:lvl w:ilvl="8" w:tplc="9FE837F2" w:tentative="1">
      <w:start w:val="1"/>
      <w:numFmt w:val="bullet"/>
      <w:lvlText w:val="•"/>
      <w:lvlJc w:val="left"/>
      <w:pPr>
        <w:tabs>
          <w:tab w:val="num" w:pos="6120"/>
        </w:tabs>
        <w:ind w:left="6120" w:hanging="360"/>
      </w:pPr>
      <w:rPr>
        <w:rFonts w:ascii="Arial" w:hAnsi="Arial" w:hint="default"/>
      </w:rPr>
    </w:lvl>
  </w:abstractNum>
  <w:num w:numId="1">
    <w:abstractNumId w:val="8"/>
  </w:num>
  <w:num w:numId="2">
    <w:abstractNumId w:val="11"/>
  </w:num>
  <w:num w:numId="3">
    <w:abstractNumId w:val="5"/>
  </w:num>
  <w:num w:numId="4">
    <w:abstractNumId w:val="10"/>
  </w:num>
  <w:num w:numId="5">
    <w:abstractNumId w:val="6"/>
  </w:num>
  <w:num w:numId="6">
    <w:abstractNumId w:val="1"/>
  </w:num>
  <w:num w:numId="7">
    <w:abstractNumId w:val="3"/>
  </w:num>
  <w:num w:numId="8">
    <w:abstractNumId w:val="2"/>
  </w:num>
  <w:num w:numId="9">
    <w:abstractNumId w:val="7"/>
  </w:num>
  <w:num w:numId="10">
    <w:abstractNumId w:val="0"/>
  </w:num>
  <w:num w:numId="11">
    <w:abstractNumId w:val="9"/>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D3D"/>
    <w:rsid w:val="00000699"/>
    <w:rsid w:val="00000C02"/>
    <w:rsid w:val="00001BB1"/>
    <w:rsid w:val="00001EE1"/>
    <w:rsid w:val="00003CD2"/>
    <w:rsid w:val="00003F95"/>
    <w:rsid w:val="00005BF5"/>
    <w:rsid w:val="00010A4C"/>
    <w:rsid w:val="00010B4E"/>
    <w:rsid w:val="0001423A"/>
    <w:rsid w:val="000159F6"/>
    <w:rsid w:val="000215FF"/>
    <w:rsid w:val="00021A21"/>
    <w:rsid w:val="00022CB4"/>
    <w:rsid w:val="000249BD"/>
    <w:rsid w:val="00026793"/>
    <w:rsid w:val="0002716E"/>
    <w:rsid w:val="000306E3"/>
    <w:rsid w:val="00031CD2"/>
    <w:rsid w:val="0003246C"/>
    <w:rsid w:val="00033B76"/>
    <w:rsid w:val="00035475"/>
    <w:rsid w:val="0003799D"/>
    <w:rsid w:val="000402B0"/>
    <w:rsid w:val="0004098F"/>
    <w:rsid w:val="00041D12"/>
    <w:rsid w:val="00043EF7"/>
    <w:rsid w:val="000477E0"/>
    <w:rsid w:val="00050722"/>
    <w:rsid w:val="00051259"/>
    <w:rsid w:val="00051369"/>
    <w:rsid w:val="00052FB7"/>
    <w:rsid w:val="000536F5"/>
    <w:rsid w:val="00054390"/>
    <w:rsid w:val="00055BBF"/>
    <w:rsid w:val="00057741"/>
    <w:rsid w:val="00061472"/>
    <w:rsid w:val="00061836"/>
    <w:rsid w:val="00062645"/>
    <w:rsid w:val="00062663"/>
    <w:rsid w:val="00064DC4"/>
    <w:rsid w:val="0006748C"/>
    <w:rsid w:val="00071A7B"/>
    <w:rsid w:val="00071C29"/>
    <w:rsid w:val="00073E66"/>
    <w:rsid w:val="0008171A"/>
    <w:rsid w:val="00081952"/>
    <w:rsid w:val="00081CCE"/>
    <w:rsid w:val="00082DEC"/>
    <w:rsid w:val="00084E12"/>
    <w:rsid w:val="00085CA0"/>
    <w:rsid w:val="00090E31"/>
    <w:rsid w:val="00096375"/>
    <w:rsid w:val="00096C14"/>
    <w:rsid w:val="000A1F50"/>
    <w:rsid w:val="000A2311"/>
    <w:rsid w:val="000A4540"/>
    <w:rsid w:val="000A4E2A"/>
    <w:rsid w:val="000A6DED"/>
    <w:rsid w:val="000B14DD"/>
    <w:rsid w:val="000B3914"/>
    <w:rsid w:val="000B446C"/>
    <w:rsid w:val="000B50B1"/>
    <w:rsid w:val="000B5594"/>
    <w:rsid w:val="000C2851"/>
    <w:rsid w:val="000C52AD"/>
    <w:rsid w:val="000C67B2"/>
    <w:rsid w:val="000C6B1A"/>
    <w:rsid w:val="000D224B"/>
    <w:rsid w:val="000D40F2"/>
    <w:rsid w:val="000D5026"/>
    <w:rsid w:val="000D5265"/>
    <w:rsid w:val="000D57FF"/>
    <w:rsid w:val="000D78F8"/>
    <w:rsid w:val="000E1545"/>
    <w:rsid w:val="000E1A85"/>
    <w:rsid w:val="000E304B"/>
    <w:rsid w:val="000E46D8"/>
    <w:rsid w:val="000E518B"/>
    <w:rsid w:val="000E7871"/>
    <w:rsid w:val="000E7D16"/>
    <w:rsid w:val="000F0B28"/>
    <w:rsid w:val="000F0DF3"/>
    <w:rsid w:val="000F0F3B"/>
    <w:rsid w:val="000F2AAE"/>
    <w:rsid w:val="000F2BD3"/>
    <w:rsid w:val="000F3835"/>
    <w:rsid w:val="000F3B40"/>
    <w:rsid w:val="000F41EC"/>
    <w:rsid w:val="000F4FED"/>
    <w:rsid w:val="000F55F6"/>
    <w:rsid w:val="001013B0"/>
    <w:rsid w:val="001078D6"/>
    <w:rsid w:val="00112CA8"/>
    <w:rsid w:val="0011371E"/>
    <w:rsid w:val="00113BA5"/>
    <w:rsid w:val="00115063"/>
    <w:rsid w:val="00116F3E"/>
    <w:rsid w:val="001203A8"/>
    <w:rsid w:val="0012160E"/>
    <w:rsid w:val="00121B2A"/>
    <w:rsid w:val="00122A09"/>
    <w:rsid w:val="00127A69"/>
    <w:rsid w:val="00127D36"/>
    <w:rsid w:val="00130A3D"/>
    <w:rsid w:val="00130DA1"/>
    <w:rsid w:val="00135FBF"/>
    <w:rsid w:val="00136B7B"/>
    <w:rsid w:val="001374AC"/>
    <w:rsid w:val="00137C40"/>
    <w:rsid w:val="0014187D"/>
    <w:rsid w:val="001432F2"/>
    <w:rsid w:val="00143C06"/>
    <w:rsid w:val="00143EE1"/>
    <w:rsid w:val="001454A8"/>
    <w:rsid w:val="00150869"/>
    <w:rsid w:val="0015142C"/>
    <w:rsid w:val="00154861"/>
    <w:rsid w:val="001576DC"/>
    <w:rsid w:val="00165D2B"/>
    <w:rsid w:val="001665EA"/>
    <w:rsid w:val="0017190C"/>
    <w:rsid w:val="00171DB3"/>
    <w:rsid w:val="001750EE"/>
    <w:rsid w:val="00176F0A"/>
    <w:rsid w:val="00177DF1"/>
    <w:rsid w:val="00180CF0"/>
    <w:rsid w:val="00182C72"/>
    <w:rsid w:val="00183264"/>
    <w:rsid w:val="00185959"/>
    <w:rsid w:val="001859E6"/>
    <w:rsid w:val="00190EEF"/>
    <w:rsid w:val="00191E4C"/>
    <w:rsid w:val="00193AE7"/>
    <w:rsid w:val="00194866"/>
    <w:rsid w:val="00196034"/>
    <w:rsid w:val="00197019"/>
    <w:rsid w:val="00197730"/>
    <w:rsid w:val="001A0749"/>
    <w:rsid w:val="001A2F68"/>
    <w:rsid w:val="001A336C"/>
    <w:rsid w:val="001A3D4C"/>
    <w:rsid w:val="001A3FFF"/>
    <w:rsid w:val="001A55B4"/>
    <w:rsid w:val="001A7B15"/>
    <w:rsid w:val="001A7FE6"/>
    <w:rsid w:val="001B1C8B"/>
    <w:rsid w:val="001B1CE4"/>
    <w:rsid w:val="001B2682"/>
    <w:rsid w:val="001B2F98"/>
    <w:rsid w:val="001C2962"/>
    <w:rsid w:val="001C465D"/>
    <w:rsid w:val="001C5BCD"/>
    <w:rsid w:val="001D29F1"/>
    <w:rsid w:val="001D32D6"/>
    <w:rsid w:val="001D3A9E"/>
    <w:rsid w:val="001D461E"/>
    <w:rsid w:val="001D4FED"/>
    <w:rsid w:val="001D588D"/>
    <w:rsid w:val="001D7494"/>
    <w:rsid w:val="001D7676"/>
    <w:rsid w:val="001E072B"/>
    <w:rsid w:val="001E2F5A"/>
    <w:rsid w:val="001F3DC7"/>
    <w:rsid w:val="001F768D"/>
    <w:rsid w:val="001F77D0"/>
    <w:rsid w:val="002033FC"/>
    <w:rsid w:val="00210C5B"/>
    <w:rsid w:val="002116AC"/>
    <w:rsid w:val="002127FE"/>
    <w:rsid w:val="00213ACA"/>
    <w:rsid w:val="0021457C"/>
    <w:rsid w:val="00214E2F"/>
    <w:rsid w:val="00217D43"/>
    <w:rsid w:val="0022224F"/>
    <w:rsid w:val="00225305"/>
    <w:rsid w:val="00231E79"/>
    <w:rsid w:val="00232CE9"/>
    <w:rsid w:val="0023341A"/>
    <w:rsid w:val="00235459"/>
    <w:rsid w:val="00235A8C"/>
    <w:rsid w:val="00235FD7"/>
    <w:rsid w:val="00240914"/>
    <w:rsid w:val="002425C8"/>
    <w:rsid w:val="002428C0"/>
    <w:rsid w:val="00243619"/>
    <w:rsid w:val="00243CB6"/>
    <w:rsid w:val="002452F5"/>
    <w:rsid w:val="002460B3"/>
    <w:rsid w:val="00250CBC"/>
    <w:rsid w:val="00253D95"/>
    <w:rsid w:val="00260E50"/>
    <w:rsid w:val="00263B7E"/>
    <w:rsid w:val="002668AD"/>
    <w:rsid w:val="002676F0"/>
    <w:rsid w:val="00270AE4"/>
    <w:rsid w:val="002714FF"/>
    <w:rsid w:val="00274060"/>
    <w:rsid w:val="00274DFD"/>
    <w:rsid w:val="0027568F"/>
    <w:rsid w:val="00275818"/>
    <w:rsid w:val="00281A05"/>
    <w:rsid w:val="002832BB"/>
    <w:rsid w:val="00286F76"/>
    <w:rsid w:val="002936EB"/>
    <w:rsid w:val="00293B15"/>
    <w:rsid w:val="00295007"/>
    <w:rsid w:val="002A06C3"/>
    <w:rsid w:val="002A1629"/>
    <w:rsid w:val="002A266C"/>
    <w:rsid w:val="002A4B11"/>
    <w:rsid w:val="002A541A"/>
    <w:rsid w:val="002A5D0F"/>
    <w:rsid w:val="002A668A"/>
    <w:rsid w:val="002B0C25"/>
    <w:rsid w:val="002B433F"/>
    <w:rsid w:val="002B505C"/>
    <w:rsid w:val="002B50CA"/>
    <w:rsid w:val="002B5902"/>
    <w:rsid w:val="002C30EB"/>
    <w:rsid w:val="002C38EC"/>
    <w:rsid w:val="002C3E77"/>
    <w:rsid w:val="002C6B40"/>
    <w:rsid w:val="002D19AA"/>
    <w:rsid w:val="002D2606"/>
    <w:rsid w:val="002D31C3"/>
    <w:rsid w:val="002D6C66"/>
    <w:rsid w:val="002D6FB0"/>
    <w:rsid w:val="002D7A3D"/>
    <w:rsid w:val="002E1333"/>
    <w:rsid w:val="002E3322"/>
    <w:rsid w:val="002E35BC"/>
    <w:rsid w:val="002E6CED"/>
    <w:rsid w:val="002F187B"/>
    <w:rsid w:val="002F3005"/>
    <w:rsid w:val="002F45E6"/>
    <w:rsid w:val="00300FAA"/>
    <w:rsid w:val="0030211A"/>
    <w:rsid w:val="00302E97"/>
    <w:rsid w:val="00303278"/>
    <w:rsid w:val="0030479B"/>
    <w:rsid w:val="003056DF"/>
    <w:rsid w:val="00305991"/>
    <w:rsid w:val="00307054"/>
    <w:rsid w:val="0031035F"/>
    <w:rsid w:val="003125B3"/>
    <w:rsid w:val="00314F14"/>
    <w:rsid w:val="00316ABC"/>
    <w:rsid w:val="00317864"/>
    <w:rsid w:val="00320EEB"/>
    <w:rsid w:val="003242C3"/>
    <w:rsid w:val="0032518C"/>
    <w:rsid w:val="00327300"/>
    <w:rsid w:val="0032755D"/>
    <w:rsid w:val="00332705"/>
    <w:rsid w:val="00333753"/>
    <w:rsid w:val="00335E04"/>
    <w:rsid w:val="00336C14"/>
    <w:rsid w:val="0034103A"/>
    <w:rsid w:val="003412F2"/>
    <w:rsid w:val="00342CC0"/>
    <w:rsid w:val="003444EA"/>
    <w:rsid w:val="0034497B"/>
    <w:rsid w:val="00345A19"/>
    <w:rsid w:val="0035018C"/>
    <w:rsid w:val="003508DB"/>
    <w:rsid w:val="00351BCE"/>
    <w:rsid w:val="003557F2"/>
    <w:rsid w:val="00360DAC"/>
    <w:rsid w:val="00361BE7"/>
    <w:rsid w:val="00364EDD"/>
    <w:rsid w:val="00365235"/>
    <w:rsid w:val="003653AC"/>
    <w:rsid w:val="00365A27"/>
    <w:rsid w:val="003666C0"/>
    <w:rsid w:val="0036687B"/>
    <w:rsid w:val="00370EEA"/>
    <w:rsid w:val="00372286"/>
    <w:rsid w:val="00372DFC"/>
    <w:rsid w:val="003730B8"/>
    <w:rsid w:val="003738A9"/>
    <w:rsid w:val="003834EA"/>
    <w:rsid w:val="00390017"/>
    <w:rsid w:val="003914B9"/>
    <w:rsid w:val="00395F82"/>
    <w:rsid w:val="003A3119"/>
    <w:rsid w:val="003A3316"/>
    <w:rsid w:val="003A42B2"/>
    <w:rsid w:val="003A5DA9"/>
    <w:rsid w:val="003A65E3"/>
    <w:rsid w:val="003A72CB"/>
    <w:rsid w:val="003B0DD6"/>
    <w:rsid w:val="003B16F6"/>
    <w:rsid w:val="003B5773"/>
    <w:rsid w:val="003C1A24"/>
    <w:rsid w:val="003C30B0"/>
    <w:rsid w:val="003C59E1"/>
    <w:rsid w:val="003D1CA8"/>
    <w:rsid w:val="003D4377"/>
    <w:rsid w:val="003D5582"/>
    <w:rsid w:val="003D5682"/>
    <w:rsid w:val="003E171B"/>
    <w:rsid w:val="003E1E92"/>
    <w:rsid w:val="003E20F0"/>
    <w:rsid w:val="003E5A12"/>
    <w:rsid w:val="003E6FD1"/>
    <w:rsid w:val="003E78EA"/>
    <w:rsid w:val="003F1CDC"/>
    <w:rsid w:val="003F378D"/>
    <w:rsid w:val="003F3EA9"/>
    <w:rsid w:val="003F7C9B"/>
    <w:rsid w:val="00400918"/>
    <w:rsid w:val="00402AB1"/>
    <w:rsid w:val="004054BB"/>
    <w:rsid w:val="004065AC"/>
    <w:rsid w:val="0041103F"/>
    <w:rsid w:val="00411A53"/>
    <w:rsid w:val="00412450"/>
    <w:rsid w:val="00420912"/>
    <w:rsid w:val="00420A5B"/>
    <w:rsid w:val="00422E2A"/>
    <w:rsid w:val="00425700"/>
    <w:rsid w:val="00426786"/>
    <w:rsid w:val="004276ED"/>
    <w:rsid w:val="00427D5F"/>
    <w:rsid w:val="00430849"/>
    <w:rsid w:val="00432A58"/>
    <w:rsid w:val="00437384"/>
    <w:rsid w:val="00437432"/>
    <w:rsid w:val="00437688"/>
    <w:rsid w:val="0044149F"/>
    <w:rsid w:val="00443F17"/>
    <w:rsid w:val="00444A81"/>
    <w:rsid w:val="004458A1"/>
    <w:rsid w:val="00450AA8"/>
    <w:rsid w:val="00451E1F"/>
    <w:rsid w:val="00453042"/>
    <w:rsid w:val="004562F9"/>
    <w:rsid w:val="00457121"/>
    <w:rsid w:val="00460605"/>
    <w:rsid w:val="00460FE3"/>
    <w:rsid w:val="004617D0"/>
    <w:rsid w:val="00461F05"/>
    <w:rsid w:val="00463F92"/>
    <w:rsid w:val="00465571"/>
    <w:rsid w:val="0046612A"/>
    <w:rsid w:val="00466512"/>
    <w:rsid w:val="0047366D"/>
    <w:rsid w:val="004739B6"/>
    <w:rsid w:val="004749B5"/>
    <w:rsid w:val="00476904"/>
    <w:rsid w:val="00480D61"/>
    <w:rsid w:val="00480F2B"/>
    <w:rsid w:val="00483C14"/>
    <w:rsid w:val="00483FB9"/>
    <w:rsid w:val="00484325"/>
    <w:rsid w:val="00484AD3"/>
    <w:rsid w:val="004869E1"/>
    <w:rsid w:val="00486A11"/>
    <w:rsid w:val="00495219"/>
    <w:rsid w:val="0049594F"/>
    <w:rsid w:val="00496889"/>
    <w:rsid w:val="00497C8B"/>
    <w:rsid w:val="004A0B1C"/>
    <w:rsid w:val="004A2B4F"/>
    <w:rsid w:val="004A2D80"/>
    <w:rsid w:val="004A4BA1"/>
    <w:rsid w:val="004A5488"/>
    <w:rsid w:val="004B0A77"/>
    <w:rsid w:val="004B5C03"/>
    <w:rsid w:val="004C50BE"/>
    <w:rsid w:val="004C550C"/>
    <w:rsid w:val="004C5597"/>
    <w:rsid w:val="004C55DE"/>
    <w:rsid w:val="004D0430"/>
    <w:rsid w:val="004D2179"/>
    <w:rsid w:val="004D2C33"/>
    <w:rsid w:val="004D45DC"/>
    <w:rsid w:val="004D4B23"/>
    <w:rsid w:val="004D5A75"/>
    <w:rsid w:val="004E5737"/>
    <w:rsid w:val="004E5EF7"/>
    <w:rsid w:val="004E6B26"/>
    <w:rsid w:val="004F017C"/>
    <w:rsid w:val="004F1FB6"/>
    <w:rsid w:val="004F3F02"/>
    <w:rsid w:val="004F6AAA"/>
    <w:rsid w:val="004F6D53"/>
    <w:rsid w:val="0050060B"/>
    <w:rsid w:val="00502652"/>
    <w:rsid w:val="00502FE2"/>
    <w:rsid w:val="00504472"/>
    <w:rsid w:val="005046F6"/>
    <w:rsid w:val="00505FE3"/>
    <w:rsid w:val="00506062"/>
    <w:rsid w:val="0050672D"/>
    <w:rsid w:val="005077F2"/>
    <w:rsid w:val="00511D1B"/>
    <w:rsid w:val="00512BDD"/>
    <w:rsid w:val="005133FA"/>
    <w:rsid w:val="00522863"/>
    <w:rsid w:val="0052460A"/>
    <w:rsid w:val="00525B20"/>
    <w:rsid w:val="00526DC9"/>
    <w:rsid w:val="00530CFB"/>
    <w:rsid w:val="00530FE7"/>
    <w:rsid w:val="00531D6A"/>
    <w:rsid w:val="005327DA"/>
    <w:rsid w:val="005341A0"/>
    <w:rsid w:val="005349FB"/>
    <w:rsid w:val="00542496"/>
    <w:rsid w:val="0054367C"/>
    <w:rsid w:val="00543D41"/>
    <w:rsid w:val="00545A70"/>
    <w:rsid w:val="005518E9"/>
    <w:rsid w:val="00553E24"/>
    <w:rsid w:val="00556173"/>
    <w:rsid w:val="0056101A"/>
    <w:rsid w:val="0056658F"/>
    <w:rsid w:val="00566FBD"/>
    <w:rsid w:val="0056764C"/>
    <w:rsid w:val="005702E8"/>
    <w:rsid w:val="00571EBF"/>
    <w:rsid w:val="00572817"/>
    <w:rsid w:val="00574A41"/>
    <w:rsid w:val="005766EC"/>
    <w:rsid w:val="005770A5"/>
    <w:rsid w:val="00580188"/>
    <w:rsid w:val="00580879"/>
    <w:rsid w:val="00587475"/>
    <w:rsid w:val="00587B09"/>
    <w:rsid w:val="00591820"/>
    <w:rsid w:val="00591E10"/>
    <w:rsid w:val="00592EA3"/>
    <w:rsid w:val="0059545E"/>
    <w:rsid w:val="00595DBB"/>
    <w:rsid w:val="005A0E25"/>
    <w:rsid w:val="005A2099"/>
    <w:rsid w:val="005A38C4"/>
    <w:rsid w:val="005A42D6"/>
    <w:rsid w:val="005A45E3"/>
    <w:rsid w:val="005A6C28"/>
    <w:rsid w:val="005B0557"/>
    <w:rsid w:val="005B2AF8"/>
    <w:rsid w:val="005B4354"/>
    <w:rsid w:val="005B4CD1"/>
    <w:rsid w:val="005B5D6D"/>
    <w:rsid w:val="005B7C5F"/>
    <w:rsid w:val="005B7EB8"/>
    <w:rsid w:val="005C16F6"/>
    <w:rsid w:val="005C2763"/>
    <w:rsid w:val="005C33A6"/>
    <w:rsid w:val="005C40E5"/>
    <w:rsid w:val="005C632F"/>
    <w:rsid w:val="005D1B00"/>
    <w:rsid w:val="005D39BA"/>
    <w:rsid w:val="005D5345"/>
    <w:rsid w:val="005D75CA"/>
    <w:rsid w:val="005E4A7E"/>
    <w:rsid w:val="005E68C6"/>
    <w:rsid w:val="005F0F15"/>
    <w:rsid w:val="005F2DC1"/>
    <w:rsid w:val="005F694A"/>
    <w:rsid w:val="00602C5F"/>
    <w:rsid w:val="0060561B"/>
    <w:rsid w:val="00607454"/>
    <w:rsid w:val="006079ED"/>
    <w:rsid w:val="00607A54"/>
    <w:rsid w:val="00612714"/>
    <w:rsid w:val="0061392A"/>
    <w:rsid w:val="00622AD2"/>
    <w:rsid w:val="00622B33"/>
    <w:rsid w:val="00624D00"/>
    <w:rsid w:val="006254A2"/>
    <w:rsid w:val="00632DB3"/>
    <w:rsid w:val="00633855"/>
    <w:rsid w:val="006339B7"/>
    <w:rsid w:val="0063486D"/>
    <w:rsid w:val="00637B01"/>
    <w:rsid w:val="006416FE"/>
    <w:rsid w:val="00650B80"/>
    <w:rsid w:val="006527A9"/>
    <w:rsid w:val="0065322D"/>
    <w:rsid w:val="0065380F"/>
    <w:rsid w:val="00654687"/>
    <w:rsid w:val="00655D34"/>
    <w:rsid w:val="00655DA3"/>
    <w:rsid w:val="00660122"/>
    <w:rsid w:val="006606D0"/>
    <w:rsid w:val="0066082F"/>
    <w:rsid w:val="00660DF3"/>
    <w:rsid w:val="00662BE3"/>
    <w:rsid w:val="006677EC"/>
    <w:rsid w:val="00671F5F"/>
    <w:rsid w:val="00676047"/>
    <w:rsid w:val="0067689B"/>
    <w:rsid w:val="00681A87"/>
    <w:rsid w:val="00682EBF"/>
    <w:rsid w:val="00683910"/>
    <w:rsid w:val="006861B3"/>
    <w:rsid w:val="00687CAE"/>
    <w:rsid w:val="00690E5D"/>
    <w:rsid w:val="006911E9"/>
    <w:rsid w:val="00692491"/>
    <w:rsid w:val="006A0E3B"/>
    <w:rsid w:val="006A15B8"/>
    <w:rsid w:val="006A297C"/>
    <w:rsid w:val="006A3581"/>
    <w:rsid w:val="006A65D8"/>
    <w:rsid w:val="006A6934"/>
    <w:rsid w:val="006A6E4D"/>
    <w:rsid w:val="006A7D51"/>
    <w:rsid w:val="006B32B7"/>
    <w:rsid w:val="006B4279"/>
    <w:rsid w:val="006B4E43"/>
    <w:rsid w:val="006B57D2"/>
    <w:rsid w:val="006B5899"/>
    <w:rsid w:val="006B6D09"/>
    <w:rsid w:val="006B73DE"/>
    <w:rsid w:val="006C101F"/>
    <w:rsid w:val="006C3A42"/>
    <w:rsid w:val="006C4195"/>
    <w:rsid w:val="006C4529"/>
    <w:rsid w:val="006C486A"/>
    <w:rsid w:val="006C55C6"/>
    <w:rsid w:val="006C5AFA"/>
    <w:rsid w:val="006C72F3"/>
    <w:rsid w:val="006D0AD6"/>
    <w:rsid w:val="006D0ED2"/>
    <w:rsid w:val="006D2813"/>
    <w:rsid w:val="006D3BC6"/>
    <w:rsid w:val="006D43D9"/>
    <w:rsid w:val="006D470F"/>
    <w:rsid w:val="006D6477"/>
    <w:rsid w:val="006D7115"/>
    <w:rsid w:val="006E120A"/>
    <w:rsid w:val="006E1C82"/>
    <w:rsid w:val="006E3B15"/>
    <w:rsid w:val="006E50E5"/>
    <w:rsid w:val="006F0F53"/>
    <w:rsid w:val="006F1879"/>
    <w:rsid w:val="006F1CCD"/>
    <w:rsid w:val="006F7457"/>
    <w:rsid w:val="00700D50"/>
    <w:rsid w:val="007016C6"/>
    <w:rsid w:val="0070202C"/>
    <w:rsid w:val="007047A3"/>
    <w:rsid w:val="00706350"/>
    <w:rsid w:val="0070788D"/>
    <w:rsid w:val="00710CFD"/>
    <w:rsid w:val="007150E6"/>
    <w:rsid w:val="00716943"/>
    <w:rsid w:val="00720300"/>
    <w:rsid w:val="00722A34"/>
    <w:rsid w:val="00723B0B"/>
    <w:rsid w:val="00725C14"/>
    <w:rsid w:val="0072678A"/>
    <w:rsid w:val="007269FB"/>
    <w:rsid w:val="0073365C"/>
    <w:rsid w:val="00735067"/>
    <w:rsid w:val="0073515F"/>
    <w:rsid w:val="00735E65"/>
    <w:rsid w:val="007409FE"/>
    <w:rsid w:val="00742465"/>
    <w:rsid w:val="00745257"/>
    <w:rsid w:val="00745CD2"/>
    <w:rsid w:val="00746654"/>
    <w:rsid w:val="0075055E"/>
    <w:rsid w:val="0076100D"/>
    <w:rsid w:val="00761978"/>
    <w:rsid w:val="007624A2"/>
    <w:rsid w:val="00762CD3"/>
    <w:rsid w:val="007661F0"/>
    <w:rsid w:val="0076741A"/>
    <w:rsid w:val="00772A03"/>
    <w:rsid w:val="00774766"/>
    <w:rsid w:val="007760D7"/>
    <w:rsid w:val="007774C6"/>
    <w:rsid w:val="007777E9"/>
    <w:rsid w:val="0077799F"/>
    <w:rsid w:val="00781984"/>
    <w:rsid w:val="00782476"/>
    <w:rsid w:val="00783F3F"/>
    <w:rsid w:val="00785127"/>
    <w:rsid w:val="00786EAE"/>
    <w:rsid w:val="007871A8"/>
    <w:rsid w:val="00787C3B"/>
    <w:rsid w:val="00787F45"/>
    <w:rsid w:val="00793F5F"/>
    <w:rsid w:val="0079532A"/>
    <w:rsid w:val="007A275F"/>
    <w:rsid w:val="007A4F6F"/>
    <w:rsid w:val="007A5CB3"/>
    <w:rsid w:val="007A7FA1"/>
    <w:rsid w:val="007B0C54"/>
    <w:rsid w:val="007B1859"/>
    <w:rsid w:val="007B58BC"/>
    <w:rsid w:val="007C0075"/>
    <w:rsid w:val="007C09D6"/>
    <w:rsid w:val="007C4336"/>
    <w:rsid w:val="007C7ED8"/>
    <w:rsid w:val="007C7F8A"/>
    <w:rsid w:val="007D530D"/>
    <w:rsid w:val="007D5C9E"/>
    <w:rsid w:val="007D6000"/>
    <w:rsid w:val="007D767E"/>
    <w:rsid w:val="007D7C89"/>
    <w:rsid w:val="007E158B"/>
    <w:rsid w:val="007E4269"/>
    <w:rsid w:val="007E76C9"/>
    <w:rsid w:val="007F0ABF"/>
    <w:rsid w:val="007F2483"/>
    <w:rsid w:val="007F3030"/>
    <w:rsid w:val="007F7024"/>
    <w:rsid w:val="008034F8"/>
    <w:rsid w:val="00806BE8"/>
    <w:rsid w:val="008105B3"/>
    <w:rsid w:val="00813818"/>
    <w:rsid w:val="00813C68"/>
    <w:rsid w:val="008162A7"/>
    <w:rsid w:val="0082380C"/>
    <w:rsid w:val="008312F3"/>
    <w:rsid w:val="00832101"/>
    <w:rsid w:val="0083437B"/>
    <w:rsid w:val="00836460"/>
    <w:rsid w:val="0083773A"/>
    <w:rsid w:val="008377D8"/>
    <w:rsid w:val="0084042E"/>
    <w:rsid w:val="008419FC"/>
    <w:rsid w:val="008437F1"/>
    <w:rsid w:val="00843A9E"/>
    <w:rsid w:val="00843BB8"/>
    <w:rsid w:val="00846D01"/>
    <w:rsid w:val="008500F4"/>
    <w:rsid w:val="00857EE9"/>
    <w:rsid w:val="008607C0"/>
    <w:rsid w:val="00866134"/>
    <w:rsid w:val="00866C16"/>
    <w:rsid w:val="00870F86"/>
    <w:rsid w:val="00873538"/>
    <w:rsid w:val="00880B3A"/>
    <w:rsid w:val="00882541"/>
    <w:rsid w:val="00886224"/>
    <w:rsid w:val="00886334"/>
    <w:rsid w:val="00890540"/>
    <w:rsid w:val="008923DD"/>
    <w:rsid w:val="008A003C"/>
    <w:rsid w:val="008A0899"/>
    <w:rsid w:val="008A1820"/>
    <w:rsid w:val="008A3895"/>
    <w:rsid w:val="008B1D31"/>
    <w:rsid w:val="008B2738"/>
    <w:rsid w:val="008B66E8"/>
    <w:rsid w:val="008B6EC4"/>
    <w:rsid w:val="008B7A49"/>
    <w:rsid w:val="008C0E97"/>
    <w:rsid w:val="008C38AB"/>
    <w:rsid w:val="008C3A04"/>
    <w:rsid w:val="008C409E"/>
    <w:rsid w:val="008C6E80"/>
    <w:rsid w:val="008D01D3"/>
    <w:rsid w:val="008D0955"/>
    <w:rsid w:val="008D4DD0"/>
    <w:rsid w:val="008D67FD"/>
    <w:rsid w:val="008E09CE"/>
    <w:rsid w:val="008E21CF"/>
    <w:rsid w:val="008E381C"/>
    <w:rsid w:val="008E3A0E"/>
    <w:rsid w:val="008E6EBC"/>
    <w:rsid w:val="008E7BF7"/>
    <w:rsid w:val="008E7EF4"/>
    <w:rsid w:val="008F0D32"/>
    <w:rsid w:val="008F104B"/>
    <w:rsid w:val="008F69CC"/>
    <w:rsid w:val="009008BF"/>
    <w:rsid w:val="00900B07"/>
    <w:rsid w:val="00901BEC"/>
    <w:rsid w:val="00902F4B"/>
    <w:rsid w:val="00905E7C"/>
    <w:rsid w:val="00905F82"/>
    <w:rsid w:val="00911470"/>
    <w:rsid w:val="00912434"/>
    <w:rsid w:val="00914304"/>
    <w:rsid w:val="00914B88"/>
    <w:rsid w:val="00916E46"/>
    <w:rsid w:val="00917FE8"/>
    <w:rsid w:val="009217E2"/>
    <w:rsid w:val="00922F86"/>
    <w:rsid w:val="009230CC"/>
    <w:rsid w:val="00924A3D"/>
    <w:rsid w:val="00926142"/>
    <w:rsid w:val="009265EF"/>
    <w:rsid w:val="00932276"/>
    <w:rsid w:val="00937B9E"/>
    <w:rsid w:val="00937DB4"/>
    <w:rsid w:val="009539F1"/>
    <w:rsid w:val="009561D2"/>
    <w:rsid w:val="00964121"/>
    <w:rsid w:val="009652B5"/>
    <w:rsid w:val="00965D23"/>
    <w:rsid w:val="00967D71"/>
    <w:rsid w:val="00970B7A"/>
    <w:rsid w:val="00970E50"/>
    <w:rsid w:val="00972531"/>
    <w:rsid w:val="0097357B"/>
    <w:rsid w:val="00975477"/>
    <w:rsid w:val="009770CA"/>
    <w:rsid w:val="0098057B"/>
    <w:rsid w:val="00980639"/>
    <w:rsid w:val="00981D0F"/>
    <w:rsid w:val="00983E2F"/>
    <w:rsid w:val="009843E2"/>
    <w:rsid w:val="00984ECC"/>
    <w:rsid w:val="00985468"/>
    <w:rsid w:val="0099068F"/>
    <w:rsid w:val="00991A22"/>
    <w:rsid w:val="00991A23"/>
    <w:rsid w:val="00994CEE"/>
    <w:rsid w:val="009A0E15"/>
    <w:rsid w:val="009A0EE4"/>
    <w:rsid w:val="009A228D"/>
    <w:rsid w:val="009A437B"/>
    <w:rsid w:val="009B0B7B"/>
    <w:rsid w:val="009B28D4"/>
    <w:rsid w:val="009B3E20"/>
    <w:rsid w:val="009B4BB6"/>
    <w:rsid w:val="009B4BE1"/>
    <w:rsid w:val="009B5298"/>
    <w:rsid w:val="009B6A02"/>
    <w:rsid w:val="009B7E71"/>
    <w:rsid w:val="009C20CB"/>
    <w:rsid w:val="009C51AA"/>
    <w:rsid w:val="009C5E68"/>
    <w:rsid w:val="009C65E9"/>
    <w:rsid w:val="009C6ACA"/>
    <w:rsid w:val="009D06EB"/>
    <w:rsid w:val="009D1F70"/>
    <w:rsid w:val="009D654A"/>
    <w:rsid w:val="009D7C55"/>
    <w:rsid w:val="009D7E5E"/>
    <w:rsid w:val="009E1210"/>
    <w:rsid w:val="009E4428"/>
    <w:rsid w:val="009E4B94"/>
    <w:rsid w:val="009E59EB"/>
    <w:rsid w:val="009F28C2"/>
    <w:rsid w:val="009F3055"/>
    <w:rsid w:val="009F43AF"/>
    <w:rsid w:val="009F543C"/>
    <w:rsid w:val="009F5E5D"/>
    <w:rsid w:val="009F7F2E"/>
    <w:rsid w:val="00A023FB"/>
    <w:rsid w:val="00A02A6C"/>
    <w:rsid w:val="00A02C88"/>
    <w:rsid w:val="00A036A8"/>
    <w:rsid w:val="00A03F4E"/>
    <w:rsid w:val="00A10860"/>
    <w:rsid w:val="00A13485"/>
    <w:rsid w:val="00A152EC"/>
    <w:rsid w:val="00A15DDE"/>
    <w:rsid w:val="00A212AF"/>
    <w:rsid w:val="00A22293"/>
    <w:rsid w:val="00A22B28"/>
    <w:rsid w:val="00A232DB"/>
    <w:rsid w:val="00A23695"/>
    <w:rsid w:val="00A2510D"/>
    <w:rsid w:val="00A25B27"/>
    <w:rsid w:val="00A270C3"/>
    <w:rsid w:val="00A27549"/>
    <w:rsid w:val="00A319E2"/>
    <w:rsid w:val="00A3211F"/>
    <w:rsid w:val="00A33C00"/>
    <w:rsid w:val="00A33F01"/>
    <w:rsid w:val="00A3423D"/>
    <w:rsid w:val="00A35BD7"/>
    <w:rsid w:val="00A36B2C"/>
    <w:rsid w:val="00A4078D"/>
    <w:rsid w:val="00A4156C"/>
    <w:rsid w:val="00A442CE"/>
    <w:rsid w:val="00A55156"/>
    <w:rsid w:val="00A5784D"/>
    <w:rsid w:val="00A67A7A"/>
    <w:rsid w:val="00A70365"/>
    <w:rsid w:val="00A722E9"/>
    <w:rsid w:val="00A77E3E"/>
    <w:rsid w:val="00A83949"/>
    <w:rsid w:val="00A871A1"/>
    <w:rsid w:val="00A87ED2"/>
    <w:rsid w:val="00AA1183"/>
    <w:rsid w:val="00AA23AE"/>
    <w:rsid w:val="00AA74A1"/>
    <w:rsid w:val="00AB070B"/>
    <w:rsid w:val="00AB291E"/>
    <w:rsid w:val="00AB4840"/>
    <w:rsid w:val="00AB6D47"/>
    <w:rsid w:val="00AC1D3D"/>
    <w:rsid w:val="00AC38CC"/>
    <w:rsid w:val="00AC3BA7"/>
    <w:rsid w:val="00AC6862"/>
    <w:rsid w:val="00AD1674"/>
    <w:rsid w:val="00AD202F"/>
    <w:rsid w:val="00AD27D5"/>
    <w:rsid w:val="00AD29E5"/>
    <w:rsid w:val="00AD6AE9"/>
    <w:rsid w:val="00AE6F16"/>
    <w:rsid w:val="00AE7A4E"/>
    <w:rsid w:val="00AF1F2D"/>
    <w:rsid w:val="00AF2365"/>
    <w:rsid w:val="00AF289C"/>
    <w:rsid w:val="00AF430C"/>
    <w:rsid w:val="00AF484A"/>
    <w:rsid w:val="00B0088B"/>
    <w:rsid w:val="00B01262"/>
    <w:rsid w:val="00B01989"/>
    <w:rsid w:val="00B024F4"/>
    <w:rsid w:val="00B05A3D"/>
    <w:rsid w:val="00B06E8D"/>
    <w:rsid w:val="00B114DE"/>
    <w:rsid w:val="00B11A82"/>
    <w:rsid w:val="00B12422"/>
    <w:rsid w:val="00B12C43"/>
    <w:rsid w:val="00B1436F"/>
    <w:rsid w:val="00B23E8F"/>
    <w:rsid w:val="00B25745"/>
    <w:rsid w:val="00B25AB9"/>
    <w:rsid w:val="00B34EF9"/>
    <w:rsid w:val="00B359B2"/>
    <w:rsid w:val="00B36EEC"/>
    <w:rsid w:val="00B36FCC"/>
    <w:rsid w:val="00B37079"/>
    <w:rsid w:val="00B37CF8"/>
    <w:rsid w:val="00B401CD"/>
    <w:rsid w:val="00B41AAA"/>
    <w:rsid w:val="00B4292A"/>
    <w:rsid w:val="00B42EBC"/>
    <w:rsid w:val="00B45160"/>
    <w:rsid w:val="00B47A8F"/>
    <w:rsid w:val="00B51434"/>
    <w:rsid w:val="00B52F92"/>
    <w:rsid w:val="00B53796"/>
    <w:rsid w:val="00B540A3"/>
    <w:rsid w:val="00B567A8"/>
    <w:rsid w:val="00B57139"/>
    <w:rsid w:val="00B57AC4"/>
    <w:rsid w:val="00B61485"/>
    <w:rsid w:val="00B61B66"/>
    <w:rsid w:val="00B6479C"/>
    <w:rsid w:val="00B65E1B"/>
    <w:rsid w:val="00B72552"/>
    <w:rsid w:val="00B76A5F"/>
    <w:rsid w:val="00B76C20"/>
    <w:rsid w:val="00B8008F"/>
    <w:rsid w:val="00B82EEC"/>
    <w:rsid w:val="00B861A8"/>
    <w:rsid w:val="00B8720A"/>
    <w:rsid w:val="00B91704"/>
    <w:rsid w:val="00B94AC9"/>
    <w:rsid w:val="00B9618C"/>
    <w:rsid w:val="00B975B7"/>
    <w:rsid w:val="00BA0122"/>
    <w:rsid w:val="00BA1763"/>
    <w:rsid w:val="00BA5518"/>
    <w:rsid w:val="00BA5A77"/>
    <w:rsid w:val="00BA6452"/>
    <w:rsid w:val="00BA65D1"/>
    <w:rsid w:val="00BA7BC5"/>
    <w:rsid w:val="00BB0DFB"/>
    <w:rsid w:val="00BB5511"/>
    <w:rsid w:val="00BB581F"/>
    <w:rsid w:val="00BB5FEA"/>
    <w:rsid w:val="00BB6D2A"/>
    <w:rsid w:val="00BC0CA0"/>
    <w:rsid w:val="00BC1B1D"/>
    <w:rsid w:val="00BC23F3"/>
    <w:rsid w:val="00BC2A83"/>
    <w:rsid w:val="00BC31C1"/>
    <w:rsid w:val="00BC3380"/>
    <w:rsid w:val="00BC3BCB"/>
    <w:rsid w:val="00BC4585"/>
    <w:rsid w:val="00BD2393"/>
    <w:rsid w:val="00BD4FE4"/>
    <w:rsid w:val="00BD721E"/>
    <w:rsid w:val="00BD7882"/>
    <w:rsid w:val="00BD7D0F"/>
    <w:rsid w:val="00BE1B6C"/>
    <w:rsid w:val="00BE2573"/>
    <w:rsid w:val="00BE27FD"/>
    <w:rsid w:val="00BF2AD1"/>
    <w:rsid w:val="00BF2C83"/>
    <w:rsid w:val="00BF3DBB"/>
    <w:rsid w:val="00BF4CAF"/>
    <w:rsid w:val="00BF631F"/>
    <w:rsid w:val="00C01DF0"/>
    <w:rsid w:val="00C02590"/>
    <w:rsid w:val="00C02995"/>
    <w:rsid w:val="00C03425"/>
    <w:rsid w:val="00C05F97"/>
    <w:rsid w:val="00C0657D"/>
    <w:rsid w:val="00C177D7"/>
    <w:rsid w:val="00C179F8"/>
    <w:rsid w:val="00C220CF"/>
    <w:rsid w:val="00C23F14"/>
    <w:rsid w:val="00C2781A"/>
    <w:rsid w:val="00C34112"/>
    <w:rsid w:val="00C355D2"/>
    <w:rsid w:val="00C357ED"/>
    <w:rsid w:val="00C44A11"/>
    <w:rsid w:val="00C468EF"/>
    <w:rsid w:val="00C51CC9"/>
    <w:rsid w:val="00C51FB4"/>
    <w:rsid w:val="00C54211"/>
    <w:rsid w:val="00C5558C"/>
    <w:rsid w:val="00C56990"/>
    <w:rsid w:val="00C60592"/>
    <w:rsid w:val="00C62F11"/>
    <w:rsid w:val="00C80F60"/>
    <w:rsid w:val="00C81B90"/>
    <w:rsid w:val="00C8353C"/>
    <w:rsid w:val="00C8376C"/>
    <w:rsid w:val="00C85C45"/>
    <w:rsid w:val="00C867C1"/>
    <w:rsid w:val="00C912BB"/>
    <w:rsid w:val="00C95D03"/>
    <w:rsid w:val="00C96F62"/>
    <w:rsid w:val="00C9713A"/>
    <w:rsid w:val="00CA1CE8"/>
    <w:rsid w:val="00CA1FA6"/>
    <w:rsid w:val="00CA1FBF"/>
    <w:rsid w:val="00CA5978"/>
    <w:rsid w:val="00CB2076"/>
    <w:rsid w:val="00CB3515"/>
    <w:rsid w:val="00CB6096"/>
    <w:rsid w:val="00CB6847"/>
    <w:rsid w:val="00CB6AD5"/>
    <w:rsid w:val="00CB6F5F"/>
    <w:rsid w:val="00CC08B5"/>
    <w:rsid w:val="00CC1793"/>
    <w:rsid w:val="00CC3F23"/>
    <w:rsid w:val="00CC41CD"/>
    <w:rsid w:val="00CD0C5E"/>
    <w:rsid w:val="00CD1BA2"/>
    <w:rsid w:val="00CD2254"/>
    <w:rsid w:val="00CD32F4"/>
    <w:rsid w:val="00CD4A1F"/>
    <w:rsid w:val="00CE1601"/>
    <w:rsid w:val="00CE1667"/>
    <w:rsid w:val="00CE18F9"/>
    <w:rsid w:val="00CE2C8D"/>
    <w:rsid w:val="00CE2E1A"/>
    <w:rsid w:val="00CE360B"/>
    <w:rsid w:val="00CE48A6"/>
    <w:rsid w:val="00CE64CE"/>
    <w:rsid w:val="00CF00DE"/>
    <w:rsid w:val="00CF5179"/>
    <w:rsid w:val="00D003BA"/>
    <w:rsid w:val="00D0104B"/>
    <w:rsid w:val="00D02628"/>
    <w:rsid w:val="00D0470A"/>
    <w:rsid w:val="00D07260"/>
    <w:rsid w:val="00D10CAA"/>
    <w:rsid w:val="00D1386C"/>
    <w:rsid w:val="00D143ED"/>
    <w:rsid w:val="00D15BBC"/>
    <w:rsid w:val="00D17C93"/>
    <w:rsid w:val="00D20D92"/>
    <w:rsid w:val="00D21DF6"/>
    <w:rsid w:val="00D22794"/>
    <w:rsid w:val="00D33C8A"/>
    <w:rsid w:val="00D34C0D"/>
    <w:rsid w:val="00D3718A"/>
    <w:rsid w:val="00D41C04"/>
    <w:rsid w:val="00D41E4C"/>
    <w:rsid w:val="00D44ED6"/>
    <w:rsid w:val="00D45AC8"/>
    <w:rsid w:val="00D465A4"/>
    <w:rsid w:val="00D46B5E"/>
    <w:rsid w:val="00D47935"/>
    <w:rsid w:val="00D503FF"/>
    <w:rsid w:val="00D505FB"/>
    <w:rsid w:val="00D5164E"/>
    <w:rsid w:val="00D51DD2"/>
    <w:rsid w:val="00D53256"/>
    <w:rsid w:val="00D536A6"/>
    <w:rsid w:val="00D53968"/>
    <w:rsid w:val="00D55F35"/>
    <w:rsid w:val="00D63B5B"/>
    <w:rsid w:val="00D701A2"/>
    <w:rsid w:val="00D718FD"/>
    <w:rsid w:val="00D72DFC"/>
    <w:rsid w:val="00D74B83"/>
    <w:rsid w:val="00D75B28"/>
    <w:rsid w:val="00D81D26"/>
    <w:rsid w:val="00D85E3F"/>
    <w:rsid w:val="00D87DFB"/>
    <w:rsid w:val="00D96CB4"/>
    <w:rsid w:val="00DA0051"/>
    <w:rsid w:val="00DA0A93"/>
    <w:rsid w:val="00DA4C50"/>
    <w:rsid w:val="00DA6222"/>
    <w:rsid w:val="00DA71B8"/>
    <w:rsid w:val="00DB2B4D"/>
    <w:rsid w:val="00DC0973"/>
    <w:rsid w:val="00DC1779"/>
    <w:rsid w:val="00DC240B"/>
    <w:rsid w:val="00DC26DE"/>
    <w:rsid w:val="00DC2CF0"/>
    <w:rsid w:val="00DC36C7"/>
    <w:rsid w:val="00DC3E80"/>
    <w:rsid w:val="00DC4AC9"/>
    <w:rsid w:val="00DC552A"/>
    <w:rsid w:val="00DC6142"/>
    <w:rsid w:val="00DC67BE"/>
    <w:rsid w:val="00DD1F0A"/>
    <w:rsid w:val="00DD3F85"/>
    <w:rsid w:val="00DD6D1A"/>
    <w:rsid w:val="00DD76ED"/>
    <w:rsid w:val="00DE06BF"/>
    <w:rsid w:val="00DE3A52"/>
    <w:rsid w:val="00DE3CA3"/>
    <w:rsid w:val="00DE7150"/>
    <w:rsid w:val="00DF1B3D"/>
    <w:rsid w:val="00DF61B3"/>
    <w:rsid w:val="00DF64D2"/>
    <w:rsid w:val="00E00B19"/>
    <w:rsid w:val="00E03074"/>
    <w:rsid w:val="00E0344C"/>
    <w:rsid w:val="00E0355F"/>
    <w:rsid w:val="00E04C1B"/>
    <w:rsid w:val="00E0506F"/>
    <w:rsid w:val="00E05162"/>
    <w:rsid w:val="00E1212D"/>
    <w:rsid w:val="00E17385"/>
    <w:rsid w:val="00E17568"/>
    <w:rsid w:val="00E20DB7"/>
    <w:rsid w:val="00E23C07"/>
    <w:rsid w:val="00E23C19"/>
    <w:rsid w:val="00E23FA6"/>
    <w:rsid w:val="00E240C4"/>
    <w:rsid w:val="00E24798"/>
    <w:rsid w:val="00E257C7"/>
    <w:rsid w:val="00E32D5D"/>
    <w:rsid w:val="00E33CF8"/>
    <w:rsid w:val="00E36C9F"/>
    <w:rsid w:val="00E41F02"/>
    <w:rsid w:val="00E47A3D"/>
    <w:rsid w:val="00E47DD6"/>
    <w:rsid w:val="00E514E0"/>
    <w:rsid w:val="00E52542"/>
    <w:rsid w:val="00E5289C"/>
    <w:rsid w:val="00E52C37"/>
    <w:rsid w:val="00E53D0E"/>
    <w:rsid w:val="00E53E42"/>
    <w:rsid w:val="00E54619"/>
    <w:rsid w:val="00E572CE"/>
    <w:rsid w:val="00E575BB"/>
    <w:rsid w:val="00E6164D"/>
    <w:rsid w:val="00E61C52"/>
    <w:rsid w:val="00E642DC"/>
    <w:rsid w:val="00E64A31"/>
    <w:rsid w:val="00E6536E"/>
    <w:rsid w:val="00E66808"/>
    <w:rsid w:val="00E676B2"/>
    <w:rsid w:val="00E714C9"/>
    <w:rsid w:val="00E740E3"/>
    <w:rsid w:val="00E75225"/>
    <w:rsid w:val="00E76DED"/>
    <w:rsid w:val="00E80D4A"/>
    <w:rsid w:val="00E8292D"/>
    <w:rsid w:val="00E82C2E"/>
    <w:rsid w:val="00E83725"/>
    <w:rsid w:val="00E8469B"/>
    <w:rsid w:val="00E86327"/>
    <w:rsid w:val="00E94323"/>
    <w:rsid w:val="00E95B81"/>
    <w:rsid w:val="00E96C52"/>
    <w:rsid w:val="00E97B2B"/>
    <w:rsid w:val="00E97C36"/>
    <w:rsid w:val="00EA08A6"/>
    <w:rsid w:val="00EA173C"/>
    <w:rsid w:val="00EA4D8D"/>
    <w:rsid w:val="00EA68AD"/>
    <w:rsid w:val="00EB2AFB"/>
    <w:rsid w:val="00EB7592"/>
    <w:rsid w:val="00EC1B70"/>
    <w:rsid w:val="00EC3454"/>
    <w:rsid w:val="00EC39E2"/>
    <w:rsid w:val="00EC4292"/>
    <w:rsid w:val="00EC5989"/>
    <w:rsid w:val="00EC7140"/>
    <w:rsid w:val="00EC7CE3"/>
    <w:rsid w:val="00ED0481"/>
    <w:rsid w:val="00ED20E1"/>
    <w:rsid w:val="00ED346E"/>
    <w:rsid w:val="00ED3E27"/>
    <w:rsid w:val="00ED66CD"/>
    <w:rsid w:val="00EE3628"/>
    <w:rsid w:val="00EE46D3"/>
    <w:rsid w:val="00EE4A83"/>
    <w:rsid w:val="00EE6504"/>
    <w:rsid w:val="00EF3434"/>
    <w:rsid w:val="00EF4481"/>
    <w:rsid w:val="00F00231"/>
    <w:rsid w:val="00F04D8A"/>
    <w:rsid w:val="00F056F6"/>
    <w:rsid w:val="00F13857"/>
    <w:rsid w:val="00F169C8"/>
    <w:rsid w:val="00F16B1C"/>
    <w:rsid w:val="00F1715A"/>
    <w:rsid w:val="00F201AF"/>
    <w:rsid w:val="00F21407"/>
    <w:rsid w:val="00F21C62"/>
    <w:rsid w:val="00F26BF5"/>
    <w:rsid w:val="00F271B6"/>
    <w:rsid w:val="00F4139C"/>
    <w:rsid w:val="00F43414"/>
    <w:rsid w:val="00F4391E"/>
    <w:rsid w:val="00F439D9"/>
    <w:rsid w:val="00F44DC3"/>
    <w:rsid w:val="00F450B3"/>
    <w:rsid w:val="00F45102"/>
    <w:rsid w:val="00F46F80"/>
    <w:rsid w:val="00F511C7"/>
    <w:rsid w:val="00F5204B"/>
    <w:rsid w:val="00F52507"/>
    <w:rsid w:val="00F53549"/>
    <w:rsid w:val="00F54C2C"/>
    <w:rsid w:val="00F55926"/>
    <w:rsid w:val="00F560E2"/>
    <w:rsid w:val="00F57595"/>
    <w:rsid w:val="00F6138D"/>
    <w:rsid w:val="00F62B08"/>
    <w:rsid w:val="00F63AE7"/>
    <w:rsid w:val="00F72D97"/>
    <w:rsid w:val="00F748ED"/>
    <w:rsid w:val="00F74CC7"/>
    <w:rsid w:val="00F77E82"/>
    <w:rsid w:val="00F821BA"/>
    <w:rsid w:val="00F82FF7"/>
    <w:rsid w:val="00F85204"/>
    <w:rsid w:val="00F86232"/>
    <w:rsid w:val="00F87B54"/>
    <w:rsid w:val="00F91F32"/>
    <w:rsid w:val="00F96E83"/>
    <w:rsid w:val="00FA16DF"/>
    <w:rsid w:val="00FA46E7"/>
    <w:rsid w:val="00FA5DFB"/>
    <w:rsid w:val="00FA6258"/>
    <w:rsid w:val="00FA79EF"/>
    <w:rsid w:val="00FB2526"/>
    <w:rsid w:val="00FB70E7"/>
    <w:rsid w:val="00FB7CF0"/>
    <w:rsid w:val="00FC4259"/>
    <w:rsid w:val="00FC497F"/>
    <w:rsid w:val="00FC6F23"/>
    <w:rsid w:val="00FC7551"/>
    <w:rsid w:val="00FD0D65"/>
    <w:rsid w:val="00FD3AB4"/>
    <w:rsid w:val="00FD40F1"/>
    <w:rsid w:val="00FD4580"/>
    <w:rsid w:val="00FD5A22"/>
    <w:rsid w:val="00FE1117"/>
    <w:rsid w:val="00FE1C50"/>
    <w:rsid w:val="00FE1E18"/>
    <w:rsid w:val="00FF0F0E"/>
    <w:rsid w:val="00FF2BDD"/>
    <w:rsid w:val="00FF5C74"/>
    <w:rsid w:val="00FF6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F8C1F"/>
  <w15:chartTrackingRefBased/>
  <w15:docId w15:val="{4C52182B-1ECE-4BBB-B256-C18FFF798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C1D3D"/>
  </w:style>
  <w:style w:type="paragraph" w:styleId="Heading1">
    <w:name w:val="heading 1"/>
    <w:aliases w:val="H1"/>
    <w:next w:val="Normal"/>
    <w:link w:val="Heading1Char"/>
    <w:qFormat/>
    <w:rsid w:val="00AC1D3D"/>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Heading1"/>
    <w:next w:val="Normal"/>
    <w:link w:val="Heading2Char"/>
    <w:qFormat/>
    <w:rsid w:val="00AC1D3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C1D3D"/>
    <w:pPr>
      <w:numPr>
        <w:ilvl w:val="2"/>
      </w:numPr>
      <w:spacing w:before="120"/>
      <w:outlineLvl w:val="2"/>
    </w:pPr>
    <w:rPr>
      <w:sz w:val="28"/>
    </w:rPr>
  </w:style>
  <w:style w:type="paragraph" w:styleId="Heading4">
    <w:name w:val="heading 4"/>
    <w:aliases w:val="h4"/>
    <w:basedOn w:val="Heading3"/>
    <w:next w:val="Normal"/>
    <w:link w:val="Heading4Char"/>
    <w:qFormat/>
    <w:rsid w:val="00AC1D3D"/>
    <w:pPr>
      <w:numPr>
        <w:ilvl w:val="3"/>
      </w:numPr>
      <w:outlineLvl w:val="3"/>
    </w:pPr>
    <w:rPr>
      <w:sz w:val="24"/>
    </w:rPr>
  </w:style>
  <w:style w:type="paragraph" w:styleId="Heading5">
    <w:name w:val="heading 5"/>
    <w:aliases w:val="h5,Heading5"/>
    <w:basedOn w:val="Heading4"/>
    <w:next w:val="Normal"/>
    <w:link w:val="Heading5Char"/>
    <w:qFormat/>
    <w:rsid w:val="00AC1D3D"/>
    <w:pPr>
      <w:numPr>
        <w:ilvl w:val="5"/>
      </w:numPr>
      <w:outlineLvl w:val="4"/>
    </w:pPr>
    <w:rPr>
      <w:sz w:val="22"/>
    </w:rPr>
  </w:style>
  <w:style w:type="paragraph" w:styleId="Heading7">
    <w:name w:val="heading 7"/>
    <w:basedOn w:val="Normal"/>
    <w:next w:val="Normal"/>
    <w:link w:val="Heading7Char"/>
    <w:qFormat/>
    <w:rsid w:val="00AC1D3D"/>
    <w:pPr>
      <w:keepNext/>
      <w:keepLines/>
      <w:numPr>
        <w:ilvl w:val="6"/>
        <w:numId w:val="1"/>
      </w:numPr>
      <w:spacing w:before="120" w:after="180" w:line="240" w:lineRule="auto"/>
      <w:outlineLvl w:val="6"/>
    </w:pPr>
    <w:rPr>
      <w:rFonts w:ascii="Arial" w:eastAsia="MS Mincho" w:hAnsi="Arial" w:cs="Times New Roman"/>
      <w:sz w:val="20"/>
      <w:szCs w:val="20"/>
      <w:lang w:val="en-GB"/>
    </w:rPr>
  </w:style>
  <w:style w:type="paragraph" w:styleId="Heading8">
    <w:name w:val="heading 8"/>
    <w:basedOn w:val="Heading1"/>
    <w:next w:val="Normal"/>
    <w:link w:val="Heading8Char"/>
    <w:qFormat/>
    <w:rsid w:val="00AC1D3D"/>
    <w:pPr>
      <w:numPr>
        <w:ilvl w:val="7"/>
      </w:numPr>
      <w:outlineLvl w:val="7"/>
    </w:pPr>
  </w:style>
  <w:style w:type="paragraph" w:styleId="Heading9">
    <w:name w:val="heading 9"/>
    <w:basedOn w:val="Heading8"/>
    <w:next w:val="Normal"/>
    <w:link w:val="Heading9Char"/>
    <w:qFormat/>
    <w:rsid w:val="00AC1D3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C1D3D"/>
    <w:rPr>
      <w:rFonts w:ascii="Arial" w:eastAsia="MS Mincho" w:hAnsi="Arial" w:cs="Times New Roman"/>
      <w:sz w:val="36"/>
      <w:szCs w:val="20"/>
      <w:lang w:val="en-GB"/>
    </w:rPr>
  </w:style>
  <w:style w:type="character" w:customStyle="1" w:styleId="Heading2Char">
    <w:name w:val="Heading 2 Char"/>
    <w:basedOn w:val="DefaultParagraphFont"/>
    <w:link w:val="Heading2"/>
    <w:rsid w:val="00AC1D3D"/>
    <w:rPr>
      <w:rFonts w:ascii="Arial" w:eastAsia="MS Mincho" w:hAnsi="Arial" w:cs="Times New Roman"/>
      <w:sz w:val="32"/>
      <w:szCs w:val="20"/>
      <w:lang w:val="en-GB"/>
    </w:rPr>
  </w:style>
  <w:style w:type="character" w:customStyle="1" w:styleId="Heading3Char">
    <w:name w:val="Heading 3 Char"/>
    <w:basedOn w:val="DefaultParagraphFont"/>
    <w:link w:val="Heading3"/>
    <w:rsid w:val="00AC1D3D"/>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AC1D3D"/>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AC1D3D"/>
    <w:rPr>
      <w:rFonts w:ascii="Arial" w:eastAsia="MS Mincho" w:hAnsi="Arial" w:cs="Times New Roman"/>
      <w:szCs w:val="20"/>
      <w:lang w:val="en-GB"/>
    </w:rPr>
  </w:style>
  <w:style w:type="character" w:customStyle="1" w:styleId="Heading7Char">
    <w:name w:val="Heading 7 Char"/>
    <w:basedOn w:val="DefaultParagraphFont"/>
    <w:link w:val="Heading7"/>
    <w:rsid w:val="00AC1D3D"/>
    <w:rPr>
      <w:rFonts w:ascii="Arial" w:eastAsia="MS Mincho" w:hAnsi="Arial" w:cs="Times New Roman"/>
      <w:sz w:val="20"/>
      <w:szCs w:val="20"/>
      <w:lang w:val="en-GB"/>
    </w:rPr>
  </w:style>
  <w:style w:type="character" w:customStyle="1" w:styleId="Heading8Char">
    <w:name w:val="Heading 8 Char"/>
    <w:basedOn w:val="DefaultParagraphFont"/>
    <w:link w:val="Heading8"/>
    <w:rsid w:val="00AC1D3D"/>
    <w:rPr>
      <w:rFonts w:ascii="Arial" w:eastAsia="MS Mincho" w:hAnsi="Arial" w:cs="Times New Roman"/>
      <w:sz w:val="36"/>
      <w:szCs w:val="20"/>
      <w:lang w:val="en-GB"/>
    </w:rPr>
  </w:style>
  <w:style w:type="character" w:customStyle="1" w:styleId="Heading9Char">
    <w:name w:val="Heading 9 Char"/>
    <w:basedOn w:val="DefaultParagraphFont"/>
    <w:link w:val="Heading9"/>
    <w:rsid w:val="00AC1D3D"/>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AC1D3D"/>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AC1D3D"/>
    <w:rPr>
      <w:rFonts w:ascii="Arial" w:eastAsia="MS Mincho" w:hAnsi="Arial" w:cs="Times New Roman"/>
      <w:b/>
      <w:noProof/>
      <w:sz w:val="18"/>
      <w:szCs w:val="20"/>
    </w:rPr>
  </w:style>
  <w:style w:type="paragraph" w:styleId="Footer">
    <w:name w:val="footer"/>
    <w:basedOn w:val="Header"/>
    <w:link w:val="FooterChar"/>
    <w:rsid w:val="00AC1D3D"/>
    <w:pPr>
      <w:jc w:val="center"/>
    </w:pPr>
    <w:rPr>
      <w:i/>
    </w:rPr>
  </w:style>
  <w:style w:type="character" w:customStyle="1" w:styleId="FooterChar">
    <w:name w:val="Footer Char"/>
    <w:basedOn w:val="DefaultParagraphFont"/>
    <w:link w:val="Footer"/>
    <w:rsid w:val="00AC1D3D"/>
    <w:rPr>
      <w:rFonts w:ascii="Arial" w:eastAsia="MS Mincho" w:hAnsi="Arial" w:cs="Times New Roman"/>
      <w:b/>
      <w:i/>
      <w:noProof/>
      <w:sz w:val="18"/>
      <w:szCs w:val="20"/>
    </w:rPr>
  </w:style>
  <w:style w:type="character" w:styleId="PageNumber">
    <w:name w:val="page number"/>
    <w:basedOn w:val="DefaultParagraphFont"/>
    <w:rsid w:val="00AC1D3D"/>
  </w:style>
  <w:style w:type="paragraph" w:customStyle="1" w:styleId="CRCoverPage">
    <w:name w:val="CR Cover Page"/>
    <w:rsid w:val="00AC1D3D"/>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AC1D3D"/>
    <w:pPr>
      <w:ind w:left="720"/>
      <w:contextualSpacing/>
    </w:pPr>
  </w:style>
  <w:style w:type="character" w:styleId="PlaceholderText">
    <w:name w:val="Placeholder Text"/>
    <w:basedOn w:val="DefaultParagraphFont"/>
    <w:uiPriority w:val="99"/>
    <w:semiHidden/>
    <w:rsid w:val="0065322D"/>
    <w:rPr>
      <w:color w:val="808080"/>
    </w:rPr>
  </w:style>
  <w:style w:type="character" w:customStyle="1" w:styleId="mi">
    <w:name w:val="mi"/>
    <w:basedOn w:val="DefaultParagraphFont"/>
    <w:rsid w:val="006F1CCD"/>
  </w:style>
  <w:style w:type="character" w:customStyle="1" w:styleId="mo">
    <w:name w:val="mo"/>
    <w:basedOn w:val="DefaultParagraphFont"/>
    <w:rsid w:val="006F1CCD"/>
  </w:style>
  <w:style w:type="character" w:customStyle="1" w:styleId="mn">
    <w:name w:val="mn"/>
    <w:basedOn w:val="DefaultParagraphFont"/>
    <w:rsid w:val="006F1CCD"/>
  </w:style>
  <w:style w:type="paragraph" w:styleId="NormalWeb">
    <w:name w:val="Normal (Web)"/>
    <w:basedOn w:val="Normal"/>
    <w:uiPriority w:val="99"/>
    <w:semiHidden/>
    <w:unhideWhenUsed/>
    <w:rsid w:val="00BC3380"/>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320E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9164377">
      <w:bodyDiv w:val="1"/>
      <w:marLeft w:val="0"/>
      <w:marRight w:val="0"/>
      <w:marTop w:val="0"/>
      <w:marBottom w:val="0"/>
      <w:divBdr>
        <w:top w:val="none" w:sz="0" w:space="0" w:color="auto"/>
        <w:left w:val="none" w:sz="0" w:space="0" w:color="auto"/>
        <w:bottom w:val="none" w:sz="0" w:space="0" w:color="auto"/>
        <w:right w:val="none" w:sz="0" w:space="0" w:color="auto"/>
      </w:divBdr>
    </w:div>
    <w:div w:id="1224634764">
      <w:bodyDiv w:val="1"/>
      <w:marLeft w:val="0"/>
      <w:marRight w:val="0"/>
      <w:marTop w:val="0"/>
      <w:marBottom w:val="0"/>
      <w:divBdr>
        <w:top w:val="none" w:sz="0" w:space="0" w:color="auto"/>
        <w:left w:val="none" w:sz="0" w:space="0" w:color="auto"/>
        <w:bottom w:val="none" w:sz="0" w:space="0" w:color="auto"/>
        <w:right w:val="none" w:sz="0" w:space="0" w:color="auto"/>
      </w:divBdr>
    </w:div>
    <w:div w:id="1566064922">
      <w:bodyDiv w:val="1"/>
      <w:marLeft w:val="0"/>
      <w:marRight w:val="0"/>
      <w:marTop w:val="0"/>
      <w:marBottom w:val="0"/>
      <w:divBdr>
        <w:top w:val="none" w:sz="0" w:space="0" w:color="auto"/>
        <w:left w:val="none" w:sz="0" w:space="0" w:color="auto"/>
        <w:bottom w:val="none" w:sz="0" w:space="0" w:color="auto"/>
        <w:right w:val="none" w:sz="0" w:space="0" w:color="auto"/>
      </w:divBdr>
      <w:divsChild>
        <w:div w:id="1424495291">
          <w:marLeft w:val="547"/>
          <w:marRight w:val="0"/>
          <w:marTop w:val="144"/>
          <w:marBottom w:val="0"/>
          <w:divBdr>
            <w:top w:val="none" w:sz="0" w:space="0" w:color="auto"/>
            <w:left w:val="none" w:sz="0" w:space="0" w:color="auto"/>
            <w:bottom w:val="none" w:sz="0" w:space="0" w:color="auto"/>
            <w:right w:val="none" w:sz="0" w:space="0" w:color="auto"/>
          </w:divBdr>
        </w:div>
        <w:div w:id="1247499965">
          <w:marLeft w:val="1166"/>
          <w:marRight w:val="0"/>
          <w:marTop w:val="125"/>
          <w:marBottom w:val="0"/>
          <w:divBdr>
            <w:top w:val="none" w:sz="0" w:space="0" w:color="auto"/>
            <w:left w:val="none" w:sz="0" w:space="0" w:color="auto"/>
            <w:bottom w:val="none" w:sz="0" w:space="0" w:color="auto"/>
            <w:right w:val="none" w:sz="0" w:space="0" w:color="auto"/>
          </w:divBdr>
        </w:div>
        <w:div w:id="317540153">
          <w:marLeft w:val="1800"/>
          <w:marRight w:val="0"/>
          <w:marTop w:val="106"/>
          <w:marBottom w:val="0"/>
          <w:divBdr>
            <w:top w:val="none" w:sz="0" w:space="0" w:color="auto"/>
            <w:left w:val="none" w:sz="0" w:space="0" w:color="auto"/>
            <w:bottom w:val="none" w:sz="0" w:space="0" w:color="auto"/>
            <w:right w:val="none" w:sz="0" w:space="0" w:color="auto"/>
          </w:divBdr>
        </w:div>
        <w:div w:id="1695305228">
          <w:marLeft w:val="2520"/>
          <w:marRight w:val="0"/>
          <w:marTop w:val="91"/>
          <w:marBottom w:val="0"/>
          <w:divBdr>
            <w:top w:val="none" w:sz="0" w:space="0" w:color="auto"/>
            <w:left w:val="none" w:sz="0" w:space="0" w:color="auto"/>
            <w:bottom w:val="none" w:sz="0" w:space="0" w:color="auto"/>
            <w:right w:val="none" w:sz="0" w:space="0" w:color="auto"/>
          </w:divBdr>
        </w:div>
        <w:div w:id="1449198345">
          <w:marLeft w:val="1800"/>
          <w:marRight w:val="0"/>
          <w:marTop w:val="106"/>
          <w:marBottom w:val="0"/>
          <w:divBdr>
            <w:top w:val="none" w:sz="0" w:space="0" w:color="auto"/>
            <w:left w:val="none" w:sz="0" w:space="0" w:color="auto"/>
            <w:bottom w:val="none" w:sz="0" w:space="0" w:color="auto"/>
            <w:right w:val="none" w:sz="0" w:space="0" w:color="auto"/>
          </w:divBdr>
        </w:div>
        <w:div w:id="1407730823">
          <w:marLeft w:val="1166"/>
          <w:marRight w:val="0"/>
          <w:marTop w:val="125"/>
          <w:marBottom w:val="0"/>
          <w:divBdr>
            <w:top w:val="none" w:sz="0" w:space="0" w:color="auto"/>
            <w:left w:val="none" w:sz="0" w:space="0" w:color="auto"/>
            <w:bottom w:val="none" w:sz="0" w:space="0" w:color="auto"/>
            <w:right w:val="none" w:sz="0" w:space="0" w:color="auto"/>
          </w:divBdr>
        </w:div>
        <w:div w:id="2118333794">
          <w:marLeft w:val="1800"/>
          <w:marRight w:val="0"/>
          <w:marTop w:val="106"/>
          <w:marBottom w:val="0"/>
          <w:divBdr>
            <w:top w:val="none" w:sz="0" w:space="0" w:color="auto"/>
            <w:left w:val="none" w:sz="0" w:space="0" w:color="auto"/>
            <w:bottom w:val="none" w:sz="0" w:space="0" w:color="auto"/>
            <w:right w:val="none" w:sz="0" w:space="0" w:color="auto"/>
          </w:divBdr>
        </w:div>
        <w:div w:id="440759506">
          <w:marLeft w:val="2520"/>
          <w:marRight w:val="0"/>
          <w:marTop w:val="91"/>
          <w:marBottom w:val="0"/>
          <w:divBdr>
            <w:top w:val="none" w:sz="0" w:space="0" w:color="auto"/>
            <w:left w:val="none" w:sz="0" w:space="0" w:color="auto"/>
            <w:bottom w:val="none" w:sz="0" w:space="0" w:color="auto"/>
            <w:right w:val="none" w:sz="0" w:space="0" w:color="auto"/>
          </w:divBdr>
        </w:div>
        <w:div w:id="189337255">
          <w:marLeft w:val="1166"/>
          <w:marRight w:val="0"/>
          <w:marTop w:val="125"/>
          <w:marBottom w:val="0"/>
          <w:divBdr>
            <w:top w:val="none" w:sz="0" w:space="0" w:color="auto"/>
            <w:left w:val="none" w:sz="0" w:space="0" w:color="auto"/>
            <w:bottom w:val="none" w:sz="0" w:space="0" w:color="auto"/>
            <w:right w:val="none" w:sz="0" w:space="0" w:color="auto"/>
          </w:divBdr>
        </w:div>
        <w:div w:id="559437068">
          <w:marLeft w:val="1800"/>
          <w:marRight w:val="0"/>
          <w:marTop w:val="106"/>
          <w:marBottom w:val="0"/>
          <w:divBdr>
            <w:top w:val="none" w:sz="0" w:space="0" w:color="auto"/>
            <w:left w:val="none" w:sz="0" w:space="0" w:color="auto"/>
            <w:bottom w:val="none" w:sz="0" w:space="0" w:color="auto"/>
            <w:right w:val="none" w:sz="0" w:space="0" w:color="auto"/>
          </w:divBdr>
        </w:div>
        <w:div w:id="92171808">
          <w:marLeft w:val="1800"/>
          <w:marRight w:val="0"/>
          <w:marTop w:val="106"/>
          <w:marBottom w:val="0"/>
          <w:divBdr>
            <w:top w:val="none" w:sz="0" w:space="0" w:color="auto"/>
            <w:left w:val="none" w:sz="0" w:space="0" w:color="auto"/>
            <w:bottom w:val="none" w:sz="0" w:space="0" w:color="auto"/>
            <w:right w:val="none" w:sz="0" w:space="0" w:color="auto"/>
          </w:divBdr>
        </w:div>
        <w:div w:id="1279600584">
          <w:marLeft w:val="1800"/>
          <w:marRight w:val="0"/>
          <w:marTop w:val="106"/>
          <w:marBottom w:val="0"/>
          <w:divBdr>
            <w:top w:val="none" w:sz="0" w:space="0" w:color="auto"/>
            <w:left w:val="none" w:sz="0" w:space="0" w:color="auto"/>
            <w:bottom w:val="none" w:sz="0" w:space="0" w:color="auto"/>
            <w:right w:val="none" w:sz="0" w:space="0" w:color="auto"/>
          </w:divBdr>
        </w:div>
        <w:div w:id="1997686181">
          <w:marLeft w:val="2520"/>
          <w:marRight w:val="0"/>
          <w:marTop w:val="91"/>
          <w:marBottom w:val="0"/>
          <w:divBdr>
            <w:top w:val="none" w:sz="0" w:space="0" w:color="auto"/>
            <w:left w:val="none" w:sz="0" w:space="0" w:color="auto"/>
            <w:bottom w:val="none" w:sz="0" w:space="0" w:color="auto"/>
            <w:right w:val="none" w:sz="0" w:space="0" w:color="auto"/>
          </w:divBdr>
        </w:div>
        <w:div w:id="379061155">
          <w:marLeft w:val="2520"/>
          <w:marRight w:val="0"/>
          <w:marTop w:val="91"/>
          <w:marBottom w:val="0"/>
          <w:divBdr>
            <w:top w:val="none" w:sz="0" w:space="0" w:color="auto"/>
            <w:left w:val="none" w:sz="0" w:space="0" w:color="auto"/>
            <w:bottom w:val="none" w:sz="0" w:space="0" w:color="auto"/>
            <w:right w:val="none" w:sz="0" w:space="0" w:color="auto"/>
          </w:divBdr>
        </w:div>
        <w:div w:id="1293360746">
          <w:marLeft w:val="1800"/>
          <w:marRight w:val="0"/>
          <w:marTop w:val="106"/>
          <w:marBottom w:val="0"/>
          <w:divBdr>
            <w:top w:val="none" w:sz="0" w:space="0" w:color="auto"/>
            <w:left w:val="none" w:sz="0" w:space="0" w:color="auto"/>
            <w:bottom w:val="none" w:sz="0" w:space="0" w:color="auto"/>
            <w:right w:val="none" w:sz="0" w:space="0" w:color="auto"/>
          </w:divBdr>
        </w:div>
      </w:divsChild>
    </w:div>
    <w:div w:id="1789085988">
      <w:bodyDiv w:val="1"/>
      <w:marLeft w:val="0"/>
      <w:marRight w:val="0"/>
      <w:marTop w:val="0"/>
      <w:marBottom w:val="0"/>
      <w:divBdr>
        <w:top w:val="none" w:sz="0" w:space="0" w:color="auto"/>
        <w:left w:val="none" w:sz="0" w:space="0" w:color="auto"/>
        <w:bottom w:val="none" w:sz="0" w:space="0" w:color="auto"/>
        <w:right w:val="none" w:sz="0" w:space="0" w:color="auto"/>
      </w:divBdr>
      <w:divsChild>
        <w:div w:id="1214468091">
          <w:marLeft w:val="547"/>
          <w:marRight w:val="0"/>
          <w:marTop w:val="86"/>
          <w:marBottom w:val="0"/>
          <w:divBdr>
            <w:top w:val="none" w:sz="0" w:space="0" w:color="auto"/>
            <w:left w:val="none" w:sz="0" w:space="0" w:color="auto"/>
            <w:bottom w:val="none" w:sz="0" w:space="0" w:color="auto"/>
            <w:right w:val="none" w:sz="0" w:space="0" w:color="auto"/>
          </w:divBdr>
        </w:div>
        <w:div w:id="607081349">
          <w:marLeft w:val="1166"/>
          <w:marRight w:val="0"/>
          <w:marTop w:val="67"/>
          <w:marBottom w:val="0"/>
          <w:divBdr>
            <w:top w:val="none" w:sz="0" w:space="0" w:color="auto"/>
            <w:left w:val="none" w:sz="0" w:space="0" w:color="auto"/>
            <w:bottom w:val="none" w:sz="0" w:space="0" w:color="auto"/>
            <w:right w:val="none" w:sz="0" w:space="0" w:color="auto"/>
          </w:divBdr>
        </w:div>
        <w:div w:id="1442072163">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N6KZ5FJUH56N-2-3628</_dlc_DocId>
    <_dlc_DocIdUrl xmlns="61b4827f-6107-4548-85d2-bee677143c1f">
      <Url>https://projects.qualcomm.com/sites/avante/_layouts/15/DocIdRedir.aspx?ID=N6KZ5FJUH56N-2-3628</Url>
      <Description>N6KZ5FJUH56N-2-3628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0498CAD-B34E-4F74-9D5A-87DF64CBD34E}">
  <ds:schemaRefs>
    <ds:schemaRef ds:uri="http://schemas.microsoft.com/sharepoint/v3/contenttype/forms"/>
  </ds:schemaRefs>
</ds:datastoreItem>
</file>

<file path=customXml/itemProps2.xml><?xml version="1.0" encoding="utf-8"?>
<ds:datastoreItem xmlns:ds="http://schemas.openxmlformats.org/officeDocument/2006/customXml" ds:itemID="{AFB8779E-CF22-45AB-BC69-D6E4B3E2E875}">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3.xml><?xml version="1.0" encoding="utf-8"?>
<ds:datastoreItem xmlns:ds="http://schemas.openxmlformats.org/officeDocument/2006/customXml" ds:itemID="{20D3B40D-6D85-4686-9827-4CEFAD680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5B5EC3-7520-4A32-9F0D-36EA51B000E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3</Pages>
  <Words>998</Words>
  <Characters>5689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Viet Nguyen</dc:creator>
  <cp:keywords/>
  <dc:description/>
  <cp:lastModifiedBy>Viet Nguyen</cp:lastModifiedBy>
  <cp:revision>11</cp:revision>
  <dcterms:created xsi:type="dcterms:W3CDTF">2017-08-10T21:56:00Z</dcterms:created>
  <dcterms:modified xsi:type="dcterms:W3CDTF">2017-08-11T18:26:00Z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0x010100433FF1C4E697BF4B975503316F4D99DE</vt:lpwstr>
  </property>
  <property fmtid="{D5CDD505-2E9C-101B-9397-08002B2CF9AE}" pid="3" name="_dlc_DocIdItemGuid">
    <vt:lpwstr>fc7eb796-77bc-4daa-a757-fa7de4327fbd</vt:lpwstr>
  </property>
</Properties>
</file>